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B935" w14:textId="0D47B3AE" w:rsidR="00C12BA6" w:rsidRPr="00C12BA6" w:rsidRDefault="00C12BA6" w:rsidP="00C12BA6">
      <w:pPr>
        <w:autoSpaceDE w:val="0"/>
        <w:autoSpaceDN w:val="0"/>
        <w:adjustRightInd w:val="0"/>
        <w:spacing w:after="0" w:line="240" w:lineRule="auto"/>
        <w:rPr>
          <w:b/>
          <w:i/>
        </w:rPr>
      </w:pPr>
      <w:r w:rsidRPr="00C12BA6">
        <w:rPr>
          <w:b/>
        </w:rPr>
        <w:t>CENWP-OD-J</w:t>
      </w:r>
      <w:r w:rsidRPr="00C12BA6">
        <w:rPr>
          <w:b/>
        </w:rPr>
        <w:tab/>
      </w:r>
      <w:r w:rsidRPr="00C12BA6">
        <w:rPr>
          <w:b/>
        </w:rPr>
        <w:tab/>
      </w:r>
      <w:r w:rsidRPr="00C12BA6">
        <w:rPr>
          <w:b/>
        </w:rPr>
        <w:tab/>
      </w:r>
      <w:r w:rsidRPr="00C12BA6">
        <w:rPr>
          <w:b/>
        </w:rPr>
        <w:tab/>
      </w:r>
      <w:r w:rsidRPr="00C12BA6">
        <w:rPr>
          <w:b/>
        </w:rPr>
        <w:tab/>
      </w:r>
      <w:r w:rsidRPr="00C12BA6">
        <w:rPr>
          <w:b/>
        </w:rPr>
        <w:tab/>
      </w:r>
      <w:r w:rsidRPr="00C12BA6">
        <w:rPr>
          <w:b/>
        </w:rPr>
        <w:tab/>
      </w:r>
      <w:r w:rsidRPr="00C12BA6">
        <w:rPr>
          <w:b/>
        </w:rPr>
        <w:tab/>
        <w:t xml:space="preserve">         March 1</w:t>
      </w:r>
      <w:r w:rsidR="00F16866">
        <w:rPr>
          <w:b/>
        </w:rPr>
        <w:t>4</w:t>
      </w:r>
      <w:r w:rsidRPr="00C12BA6">
        <w:rPr>
          <w:b/>
        </w:rPr>
        <w:t>, 2021</w:t>
      </w:r>
    </w:p>
    <w:p w14:paraId="16A81D18" w14:textId="77777777" w:rsidR="00C12BA6" w:rsidRPr="00C12BA6" w:rsidRDefault="00C12BA6" w:rsidP="00C12BA6">
      <w:pPr>
        <w:autoSpaceDE w:val="0"/>
        <w:autoSpaceDN w:val="0"/>
        <w:adjustRightInd w:val="0"/>
        <w:spacing w:after="0" w:line="240" w:lineRule="auto"/>
        <w:rPr>
          <w:b/>
        </w:rPr>
      </w:pPr>
    </w:p>
    <w:p w14:paraId="4A70D87E" w14:textId="77777777" w:rsidR="00C12BA6" w:rsidRPr="00C12BA6" w:rsidRDefault="00C12BA6" w:rsidP="00C12BA6">
      <w:pPr>
        <w:autoSpaceDE w:val="0"/>
        <w:autoSpaceDN w:val="0"/>
        <w:adjustRightInd w:val="0"/>
        <w:spacing w:after="0" w:line="240" w:lineRule="auto"/>
        <w:rPr>
          <w:b/>
          <w:i/>
        </w:rPr>
      </w:pPr>
      <w:r w:rsidRPr="00C12BA6">
        <w:rPr>
          <w:b/>
        </w:rPr>
        <w:t xml:space="preserve">MEMORANDUM FOR THE RECORD </w:t>
      </w:r>
    </w:p>
    <w:p w14:paraId="662E2B25" w14:textId="77777777" w:rsidR="00C12BA6" w:rsidRPr="00C12BA6" w:rsidRDefault="00C12BA6" w:rsidP="00C12BA6">
      <w:pPr>
        <w:autoSpaceDE w:val="0"/>
        <w:autoSpaceDN w:val="0"/>
        <w:adjustRightInd w:val="0"/>
        <w:spacing w:after="0" w:line="240" w:lineRule="auto"/>
        <w:rPr>
          <w:b/>
        </w:rPr>
      </w:pPr>
    </w:p>
    <w:p w14:paraId="143A0E53" w14:textId="476811AD" w:rsidR="00C12BA6" w:rsidRPr="00C12BA6" w:rsidRDefault="00C12BA6" w:rsidP="00C12BA6">
      <w:pPr>
        <w:autoSpaceDE w:val="0"/>
        <w:autoSpaceDN w:val="0"/>
        <w:adjustRightInd w:val="0"/>
        <w:spacing w:after="0" w:line="240" w:lineRule="auto"/>
        <w:rPr>
          <w:b/>
        </w:rPr>
      </w:pPr>
      <w:r w:rsidRPr="00C12BA6">
        <w:rPr>
          <w:b/>
        </w:rPr>
        <w:t xml:space="preserve">SUBJECT: </w:t>
      </w:r>
      <w:r w:rsidRPr="00C12BA6">
        <w:rPr>
          <w:b/>
          <w:iCs/>
        </w:rPr>
        <w:t>22JDA0</w:t>
      </w:r>
      <w:r>
        <w:rPr>
          <w:b/>
          <w:iCs/>
        </w:rPr>
        <w:t>4</w:t>
      </w:r>
      <w:r w:rsidRPr="00C12BA6">
        <w:rPr>
          <w:b/>
          <w:iCs/>
        </w:rPr>
        <w:t xml:space="preserve"> </w:t>
      </w:r>
      <w:r>
        <w:rPr>
          <w:b/>
          <w:iCs/>
        </w:rPr>
        <w:t>South Fish Ladder Temperatures</w:t>
      </w:r>
    </w:p>
    <w:p w14:paraId="77065331" w14:textId="77777777" w:rsidR="00C12BA6" w:rsidRDefault="00C12BA6" w:rsidP="00C12BA6">
      <w:pPr>
        <w:autoSpaceDE w:val="0"/>
        <w:autoSpaceDN w:val="0"/>
        <w:adjustRightInd w:val="0"/>
        <w:spacing w:after="0" w:line="240" w:lineRule="auto"/>
        <w:rPr>
          <w:b/>
          <w:bCs/>
        </w:rPr>
      </w:pPr>
    </w:p>
    <w:p w14:paraId="013DEC72" w14:textId="77777777" w:rsidR="00C12BA6" w:rsidRDefault="00C12BA6" w:rsidP="00C12BA6">
      <w:pPr>
        <w:autoSpaceDE w:val="0"/>
        <w:autoSpaceDN w:val="0"/>
        <w:adjustRightInd w:val="0"/>
        <w:spacing w:after="0" w:line="240" w:lineRule="auto"/>
        <w:rPr>
          <w:b/>
          <w:bCs/>
        </w:rPr>
      </w:pPr>
    </w:p>
    <w:p w14:paraId="1F64153A" w14:textId="0B47E25F" w:rsidR="00FE7142" w:rsidRDefault="003A21ED" w:rsidP="00C12BA6">
      <w:pPr>
        <w:autoSpaceDE w:val="0"/>
        <w:autoSpaceDN w:val="0"/>
        <w:adjustRightInd w:val="0"/>
        <w:spacing w:after="0" w:line="240" w:lineRule="auto"/>
      </w:pPr>
      <w:r w:rsidRPr="00313AF9">
        <w:rPr>
          <w:b/>
          <w:bCs/>
        </w:rPr>
        <w:t>Background</w:t>
      </w:r>
      <w:r w:rsidR="00A4609D" w:rsidRPr="00313AF9">
        <w:rPr>
          <w:b/>
          <w:bCs/>
        </w:rPr>
        <w:t>:</w:t>
      </w:r>
      <w:r w:rsidR="00A24E9F" w:rsidRPr="007542FB">
        <w:t xml:space="preserve"> </w:t>
      </w:r>
    </w:p>
    <w:p w14:paraId="5FC41BF8" w14:textId="1043864F" w:rsidR="00182781" w:rsidRDefault="00182781" w:rsidP="00C12BA6">
      <w:pPr>
        <w:autoSpaceDE w:val="0"/>
        <w:autoSpaceDN w:val="0"/>
        <w:adjustRightInd w:val="0"/>
        <w:spacing w:after="0" w:line="240" w:lineRule="auto"/>
      </w:pPr>
    </w:p>
    <w:p w14:paraId="37312B50" w14:textId="3F99B4FA" w:rsidR="00F937E5" w:rsidRDefault="00182781" w:rsidP="00C12BA6">
      <w:pPr>
        <w:autoSpaceDE w:val="0"/>
        <w:autoSpaceDN w:val="0"/>
        <w:adjustRightInd w:val="0"/>
        <w:spacing w:after="0" w:line="240" w:lineRule="auto"/>
      </w:pPr>
      <w:r>
        <w:t xml:space="preserve">In 2016 John </w:t>
      </w:r>
      <w:r w:rsidRPr="009C75E3">
        <w:t xml:space="preserve">Day </w:t>
      </w:r>
      <w:r w:rsidR="00A5019B" w:rsidRPr="009C75E3">
        <w:t>Dam</w:t>
      </w:r>
      <w:r>
        <w:t xml:space="preserve">, along with other </w:t>
      </w:r>
      <w:r w:rsidR="005D7990">
        <w:t xml:space="preserve">USACE </w:t>
      </w:r>
      <w:r>
        <w:t>project</w:t>
      </w:r>
      <w:r w:rsidR="005D7990">
        <w:t>s, began monitoring and reporting fish ladder temperatures after high river temperatures in the 2015 migratory year contributed to low Sockeye salmon survival.  Thermal gradient</w:t>
      </w:r>
      <w:r w:rsidR="00310F5E">
        <w:t>s</w:t>
      </w:r>
      <w:r w:rsidR="005D7990">
        <w:t xml:space="preserve"> in</w:t>
      </w:r>
      <w:r w:rsidR="00B109A9">
        <w:t xml:space="preserve"> adult</w:t>
      </w:r>
      <w:r w:rsidR="005D7990">
        <w:t xml:space="preserve"> fish ladders</w:t>
      </w:r>
      <w:r w:rsidR="00310F5E">
        <w:t xml:space="preserve"> are associated with slowing adult salmon migration</w:t>
      </w:r>
      <w:r w:rsidR="00B109A9">
        <w:t xml:space="preserve"> </w:t>
      </w:r>
      <w:r w:rsidR="00B109A9" w:rsidRPr="007542FB">
        <w:t>(Caudill et al. 2006; USACE 2004</w:t>
      </w:r>
      <w:r w:rsidR="00B109A9">
        <w:t>) and warmer water temperatures alter salmon behavior</w:t>
      </w:r>
      <w:r w:rsidR="00310F5E">
        <w:t xml:space="preserve">.  </w:t>
      </w:r>
    </w:p>
    <w:p w14:paraId="0CEA819C" w14:textId="1B7B006F" w:rsidR="00310F5E" w:rsidRDefault="00310F5E" w:rsidP="00C12BA6">
      <w:pPr>
        <w:autoSpaceDE w:val="0"/>
        <w:autoSpaceDN w:val="0"/>
        <w:adjustRightInd w:val="0"/>
        <w:spacing w:after="0" w:line="240" w:lineRule="auto"/>
      </w:pPr>
    </w:p>
    <w:p w14:paraId="58CC7618" w14:textId="3D98DD3A" w:rsidR="00310F5E" w:rsidRPr="00182C96" w:rsidRDefault="00310F5E" w:rsidP="00C12BA6">
      <w:pPr>
        <w:autoSpaceDE w:val="0"/>
        <w:autoSpaceDN w:val="0"/>
        <w:adjustRightInd w:val="0"/>
        <w:spacing w:after="0" w:line="240" w:lineRule="auto"/>
      </w:pPr>
      <w:r>
        <w:t xml:space="preserve">In 2018 </w:t>
      </w:r>
      <w:r w:rsidR="00B109A9">
        <w:t xml:space="preserve">and 2019 a </w:t>
      </w:r>
      <w:r>
        <w:t xml:space="preserve">temperature depth profile study was conducted on the lower </w:t>
      </w:r>
      <w:r w:rsidR="00B109A9">
        <w:t>C</w:t>
      </w:r>
      <w:r>
        <w:t>olum</w:t>
      </w:r>
      <w:r w:rsidR="00B109A9">
        <w:t>bia</w:t>
      </w:r>
      <w:r>
        <w:t xml:space="preserve"> </w:t>
      </w:r>
      <w:r w:rsidR="00B109A9">
        <w:t>R</w:t>
      </w:r>
      <w:r>
        <w:t>iver projects to monitor the vertical thermal profile of the forebays</w:t>
      </w:r>
      <w:r w:rsidR="00B109A9">
        <w:t xml:space="preserve"> next to fish ladder exits to </w:t>
      </w:r>
      <w:r w:rsidR="007A74C3" w:rsidRPr="009C75E3">
        <w:t>determine</w:t>
      </w:r>
      <w:r w:rsidR="007A74C3">
        <w:t xml:space="preserve"> </w:t>
      </w:r>
      <w:r w:rsidR="00B109A9">
        <w:t>if cooler water existed for potential cooling of the fish ladders (Lundell et al 2019</w:t>
      </w:r>
      <w:r w:rsidR="00B109A9" w:rsidRPr="00182C96">
        <w:t xml:space="preserve">).  </w:t>
      </w:r>
      <w:r w:rsidRPr="00182C96">
        <w:t xml:space="preserve"> </w:t>
      </w:r>
      <w:r w:rsidR="00F614B9" w:rsidRPr="00182C96">
        <w:t>Th</w:t>
      </w:r>
      <w:r w:rsidR="00182C96">
        <w:t>e</w:t>
      </w:r>
      <w:r w:rsidR="00F614B9" w:rsidRPr="00182C96">
        <w:t xml:space="preserve"> study conclude</w:t>
      </w:r>
      <w:r w:rsidR="00182C96">
        <w:t>d</w:t>
      </w:r>
      <w:r w:rsidR="00F614B9" w:rsidRPr="00182C96">
        <w:t xml:space="preserve"> that at the John Day Dam forebay near the South fish ladder there </w:t>
      </w:r>
      <w:r w:rsidR="00182C96">
        <w:t>was</w:t>
      </w:r>
      <w:r w:rsidR="00F614B9" w:rsidRPr="00182C96">
        <w:t xml:space="preserve"> a steeper thermal gradient compared to The Dalles and Bonneville projects. If this cooler water were to be pumped from the bottom it may match the tailwater temperatures at times; however, at The Dalles and Bonneville forebays it may be a negligible endeavor. </w:t>
      </w:r>
      <w:r w:rsidRPr="00182C96">
        <w:t xml:space="preserve"> </w:t>
      </w:r>
    </w:p>
    <w:p w14:paraId="3EA80876" w14:textId="77777777" w:rsidR="00F937E5" w:rsidRDefault="00F937E5" w:rsidP="00C12BA6">
      <w:pPr>
        <w:autoSpaceDE w:val="0"/>
        <w:autoSpaceDN w:val="0"/>
        <w:adjustRightInd w:val="0"/>
        <w:spacing w:after="0" w:line="240" w:lineRule="auto"/>
      </w:pPr>
    </w:p>
    <w:p w14:paraId="461CE236" w14:textId="2BF13109" w:rsidR="00182781" w:rsidRPr="007542FB" w:rsidRDefault="001D0801" w:rsidP="00182781">
      <w:r>
        <w:t xml:space="preserve">This </w:t>
      </w:r>
      <w:r w:rsidR="00182781">
        <w:t>memo is</w:t>
      </w:r>
      <w:r w:rsidR="00182781" w:rsidRPr="007542FB">
        <w:t xml:space="preserve"> to </w:t>
      </w:r>
      <w:r w:rsidR="00182781">
        <w:t xml:space="preserve">evaluate </w:t>
      </w:r>
      <w:r>
        <w:t>ladder temperature differentials in the South fish ladder at John Day Dam (JDA) along with operational</w:t>
      </w:r>
      <w:r w:rsidR="005F344F">
        <w:t xml:space="preserve"> recommendations to</w:t>
      </w:r>
      <w:r>
        <w:t xml:space="preserve"> consider that may be implemented to reduce thermal gradients</w:t>
      </w:r>
      <w:r w:rsidR="005F344F">
        <w:t xml:space="preserve"> that could be monitored during adult passage season</w:t>
      </w:r>
      <w:r w:rsidR="00392CFF">
        <w:t xml:space="preserve">. </w:t>
      </w:r>
    </w:p>
    <w:p w14:paraId="08E67348" w14:textId="77777777" w:rsidR="00182781" w:rsidRDefault="00182781" w:rsidP="00C12BA6">
      <w:pPr>
        <w:autoSpaceDE w:val="0"/>
        <w:autoSpaceDN w:val="0"/>
        <w:adjustRightInd w:val="0"/>
        <w:spacing w:after="0" w:line="240" w:lineRule="auto"/>
      </w:pPr>
    </w:p>
    <w:p w14:paraId="6A627921" w14:textId="2312D7F5" w:rsidR="00C12BA6" w:rsidRDefault="00C12BA6" w:rsidP="00C12BA6">
      <w:pPr>
        <w:autoSpaceDE w:val="0"/>
        <w:autoSpaceDN w:val="0"/>
        <w:adjustRightInd w:val="0"/>
        <w:spacing w:after="0" w:line="240" w:lineRule="auto"/>
      </w:pPr>
    </w:p>
    <w:p w14:paraId="1717CEEE" w14:textId="77777777" w:rsidR="00C12BA6" w:rsidRPr="007542FB" w:rsidRDefault="00C12BA6" w:rsidP="00C12BA6">
      <w:pPr>
        <w:autoSpaceDE w:val="0"/>
        <w:autoSpaceDN w:val="0"/>
        <w:adjustRightInd w:val="0"/>
        <w:spacing w:after="0" w:line="240" w:lineRule="auto"/>
      </w:pPr>
    </w:p>
    <w:p w14:paraId="4F75E681" w14:textId="77777777" w:rsidR="00C12BA6" w:rsidRDefault="00BB4FC4" w:rsidP="007542FB">
      <w:r w:rsidRPr="00313AF9">
        <w:rPr>
          <w:b/>
          <w:bCs/>
        </w:rPr>
        <w:t>Method</w:t>
      </w:r>
      <w:r w:rsidR="00A24E9F" w:rsidRPr="00313AF9">
        <w:rPr>
          <w:b/>
          <w:bCs/>
        </w:rPr>
        <w:t>:</w:t>
      </w:r>
      <w:r w:rsidR="00A24E9F" w:rsidRPr="007542FB">
        <w:t xml:space="preserve"> </w:t>
      </w:r>
    </w:p>
    <w:p w14:paraId="4A7F7590" w14:textId="6A1DCBBA" w:rsidR="001806E9" w:rsidRDefault="00830F62" w:rsidP="00830F62">
      <w:r>
        <w:t xml:space="preserve">Temperature data has been collected from the JDA South Fish Ladder (SFL) entrance and exit sections since 2011. During this time the readings have been taken from the same locations (See figure 1). JDA uses Onset </w:t>
      </w:r>
      <w:r w:rsidRPr="008E32E4">
        <w:t xml:space="preserve">HOBO </w:t>
      </w:r>
      <w:r>
        <w:t xml:space="preserve">temperature loggers (Model: </w:t>
      </w:r>
      <w:r w:rsidRPr="008E32E4">
        <w:t>U22-001</w:t>
      </w:r>
      <w:r>
        <w:t xml:space="preserve">) </w:t>
      </w:r>
      <w:r w:rsidR="001806E9" w:rsidRPr="001806E9">
        <w:t>that are deployed in 2” PVC pipes mounted to the ladder wall.  The pipes are d</w:t>
      </w:r>
      <w:r w:rsidR="001806E9">
        <w:t>r</w:t>
      </w:r>
      <w:r w:rsidR="001806E9" w:rsidRPr="001806E9">
        <w:t xml:space="preserve">illed to allow water circulation.  The loggers are </w:t>
      </w:r>
      <w:proofErr w:type="gramStart"/>
      <w:r w:rsidR="001806E9" w:rsidRPr="001806E9">
        <w:t>approximately 1-foot</w:t>
      </w:r>
      <w:proofErr w:type="gramEnd"/>
      <w:r w:rsidR="001806E9" w:rsidRPr="001806E9">
        <w:t xml:space="preserve"> from the ladder floor. </w:t>
      </w:r>
    </w:p>
    <w:p w14:paraId="396DD560" w14:textId="51E49D9D" w:rsidR="00830F62" w:rsidRDefault="00830F62" w:rsidP="00830F62">
      <w:r>
        <w:t>Temperatures are recorded hourly, and data is typically offloaded weekly. Unfortunately, there have been times when weekly readouts weren’t feasible (short staffed, heavy workloads, malfunctioning equipment, etc.) and blocks of data were lost (See Table 1). This makes it more difficult to analyze data during these blocks. Therefore, most of the data is shown as 10-year averages to help offset these lost data blocks.</w:t>
      </w:r>
    </w:p>
    <w:p w14:paraId="7FF54871" w14:textId="77777777" w:rsidR="00830F62" w:rsidRDefault="00725DA9" w:rsidP="00830F62">
      <w:pPr>
        <w:spacing w:line="240" w:lineRule="auto"/>
        <w:jc w:val="center"/>
        <w:rPr>
          <w:b/>
          <w:bCs/>
          <w:sz w:val="20"/>
          <w:szCs w:val="20"/>
        </w:rPr>
      </w:pPr>
      <w:r>
        <w:rPr>
          <w:noProof/>
        </w:rPr>
        <w:lastRenderedPageBreak/>
        <w:drawing>
          <wp:inline distT="0" distB="0" distL="0" distR="0" wp14:anchorId="7BAA29AA" wp14:editId="6388EF0F">
            <wp:extent cx="5253157" cy="36385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91" cy="3641829"/>
                    </a:xfrm>
                    <a:prstGeom prst="rect">
                      <a:avLst/>
                    </a:prstGeom>
                    <a:noFill/>
                  </pic:spPr>
                </pic:pic>
              </a:graphicData>
            </a:graphic>
          </wp:inline>
        </w:drawing>
      </w:r>
    </w:p>
    <w:p w14:paraId="065AC405" w14:textId="52588E00" w:rsidR="00493F91" w:rsidRDefault="00725DA9" w:rsidP="00830F62">
      <w:pPr>
        <w:spacing w:line="240" w:lineRule="auto"/>
        <w:jc w:val="center"/>
        <w:rPr>
          <w:sz w:val="20"/>
          <w:szCs w:val="20"/>
        </w:rPr>
      </w:pPr>
      <w:r w:rsidRPr="00830F62">
        <w:rPr>
          <w:b/>
          <w:bCs/>
          <w:sz w:val="20"/>
          <w:szCs w:val="20"/>
        </w:rPr>
        <w:t>Figure 1:</w:t>
      </w:r>
      <w:r w:rsidRPr="00830F62">
        <w:rPr>
          <w:sz w:val="20"/>
          <w:szCs w:val="20"/>
        </w:rPr>
        <w:t xml:space="preserve"> Diagram illustrating the locations of the John Day Dam project’s </w:t>
      </w:r>
      <w:r w:rsidR="00F937E5" w:rsidRPr="00830F62">
        <w:rPr>
          <w:sz w:val="20"/>
          <w:szCs w:val="20"/>
        </w:rPr>
        <w:t>S</w:t>
      </w:r>
      <w:r w:rsidRPr="00830F62">
        <w:rPr>
          <w:sz w:val="20"/>
          <w:szCs w:val="20"/>
        </w:rPr>
        <w:t>outh fish ladder temperature probes</w:t>
      </w:r>
      <w:r w:rsidR="00F937E5" w:rsidRPr="00830F62">
        <w:rPr>
          <w:sz w:val="20"/>
          <w:szCs w:val="20"/>
        </w:rPr>
        <w:t>.</w:t>
      </w:r>
    </w:p>
    <w:p w14:paraId="2A4C7FE0" w14:textId="77777777" w:rsidR="00830F62" w:rsidRDefault="00830F62" w:rsidP="00830F62">
      <w:pPr>
        <w:spacing w:line="240" w:lineRule="auto"/>
        <w:jc w:val="center"/>
        <w:rPr>
          <w:sz w:val="20"/>
          <w:szCs w:val="20"/>
        </w:rPr>
      </w:pPr>
    </w:p>
    <w:tbl>
      <w:tblPr>
        <w:tblW w:w="6400" w:type="dxa"/>
        <w:jc w:val="center"/>
        <w:tblLayout w:type="fixed"/>
        <w:tblLook w:val="04A0" w:firstRow="1" w:lastRow="0" w:firstColumn="1" w:lastColumn="0" w:noHBand="0" w:noVBand="1"/>
      </w:tblPr>
      <w:tblGrid>
        <w:gridCol w:w="1280"/>
        <w:gridCol w:w="1280"/>
        <w:gridCol w:w="1280"/>
        <w:gridCol w:w="1280"/>
        <w:gridCol w:w="1280"/>
      </w:tblGrid>
      <w:tr w:rsidR="00830F62" w:rsidRPr="00725DA9" w14:paraId="4C91646B" w14:textId="77777777" w:rsidTr="007D4CAE">
        <w:trPr>
          <w:trHeight w:val="315"/>
          <w:jc w:val="center"/>
        </w:trPr>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C30BA4"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2021</w:t>
            </w:r>
          </w:p>
        </w:tc>
        <w:tc>
          <w:tcPr>
            <w:tcW w:w="1280" w:type="dxa"/>
            <w:tcBorders>
              <w:top w:val="single" w:sz="8" w:space="0" w:color="auto"/>
              <w:left w:val="nil"/>
              <w:bottom w:val="single" w:sz="8" w:space="0" w:color="auto"/>
              <w:right w:val="single" w:sz="4" w:space="0" w:color="auto"/>
            </w:tcBorders>
            <w:shd w:val="clear" w:color="auto" w:fill="auto"/>
            <w:noWrap/>
            <w:vAlign w:val="bottom"/>
            <w:hideMark/>
          </w:tcPr>
          <w:p w14:paraId="14A25E7C"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2020</w:t>
            </w:r>
          </w:p>
        </w:tc>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0F6E99"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2019</w:t>
            </w:r>
          </w:p>
        </w:tc>
        <w:tc>
          <w:tcPr>
            <w:tcW w:w="1280" w:type="dxa"/>
            <w:tcBorders>
              <w:top w:val="single" w:sz="8" w:space="0" w:color="auto"/>
              <w:left w:val="nil"/>
              <w:bottom w:val="single" w:sz="8" w:space="0" w:color="auto"/>
              <w:right w:val="single" w:sz="4" w:space="0" w:color="auto"/>
            </w:tcBorders>
            <w:shd w:val="clear" w:color="auto" w:fill="auto"/>
            <w:noWrap/>
            <w:vAlign w:val="bottom"/>
            <w:hideMark/>
          </w:tcPr>
          <w:p w14:paraId="4F12BC39"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2018</w:t>
            </w:r>
          </w:p>
        </w:tc>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CCBABFA" w14:textId="77777777" w:rsidR="00830F62" w:rsidRPr="00725DA9" w:rsidRDefault="00830F62"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2017</w:t>
            </w:r>
          </w:p>
        </w:tc>
      </w:tr>
      <w:tr w:rsidR="00830F62" w:rsidRPr="00725DA9" w14:paraId="497FB198" w14:textId="77777777" w:rsidTr="007D4CAE">
        <w:trPr>
          <w:trHeight w:val="450"/>
          <w:jc w:val="center"/>
        </w:trPr>
        <w:tc>
          <w:tcPr>
            <w:tcW w:w="128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00C64B78"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 xml:space="preserve">(5/18 - 8/21) &amp; </w:t>
            </w:r>
            <w:r w:rsidRPr="00725DA9">
              <w:rPr>
                <w:rFonts w:ascii="Calibri" w:eastAsia="Times New Roman" w:hAnsi="Calibri" w:cs="Calibri"/>
                <w:color w:val="000000"/>
                <w:sz w:val="18"/>
                <w:szCs w:val="18"/>
              </w:rPr>
              <w:br/>
              <w:t>(8/30 - 9/21)</w:t>
            </w:r>
          </w:p>
        </w:tc>
        <w:tc>
          <w:tcPr>
            <w:tcW w:w="1280" w:type="dxa"/>
            <w:vMerge w:val="restart"/>
            <w:tcBorders>
              <w:top w:val="single" w:sz="4" w:space="0" w:color="auto"/>
              <w:left w:val="nil"/>
              <w:bottom w:val="single" w:sz="8" w:space="0" w:color="000000"/>
              <w:right w:val="single" w:sz="4" w:space="0" w:color="auto"/>
            </w:tcBorders>
            <w:shd w:val="clear" w:color="000000" w:fill="D9E1F2"/>
            <w:vAlign w:val="center"/>
            <w:hideMark/>
          </w:tcPr>
          <w:p w14:paraId="5249F1F7"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5/1 - 9/23</w:t>
            </w:r>
          </w:p>
        </w:tc>
        <w:tc>
          <w:tcPr>
            <w:tcW w:w="128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79D4737C"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5/1 - 9/16</w:t>
            </w:r>
          </w:p>
        </w:tc>
        <w:tc>
          <w:tcPr>
            <w:tcW w:w="1280" w:type="dxa"/>
            <w:vMerge w:val="restart"/>
            <w:tcBorders>
              <w:top w:val="single" w:sz="4" w:space="0" w:color="auto"/>
              <w:left w:val="nil"/>
              <w:bottom w:val="single" w:sz="8" w:space="0" w:color="000000"/>
              <w:right w:val="single" w:sz="4" w:space="0" w:color="auto"/>
            </w:tcBorders>
            <w:shd w:val="clear" w:color="000000" w:fill="D9E1F2"/>
            <w:vAlign w:val="center"/>
            <w:hideMark/>
          </w:tcPr>
          <w:p w14:paraId="665F50C8"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 xml:space="preserve">(5/1 -6/28) &amp; </w:t>
            </w:r>
            <w:r w:rsidRPr="00725DA9">
              <w:rPr>
                <w:rFonts w:ascii="Calibri" w:eastAsia="Times New Roman" w:hAnsi="Calibri" w:cs="Calibri"/>
                <w:color w:val="000000"/>
                <w:sz w:val="18"/>
                <w:szCs w:val="18"/>
              </w:rPr>
              <w:br/>
              <w:t>(9/6 - 9/26)</w:t>
            </w:r>
          </w:p>
        </w:tc>
        <w:tc>
          <w:tcPr>
            <w:tcW w:w="128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71AB08DB" w14:textId="77777777" w:rsidR="00830F62" w:rsidRPr="00725DA9" w:rsidRDefault="00830F62"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5/1 - 9/27</w:t>
            </w:r>
          </w:p>
        </w:tc>
      </w:tr>
      <w:tr w:rsidR="007D4CAE" w:rsidRPr="00725DA9" w14:paraId="68BA7717" w14:textId="77777777" w:rsidTr="007D4CAE">
        <w:trPr>
          <w:trHeight w:val="450"/>
          <w:jc w:val="center"/>
        </w:trPr>
        <w:tc>
          <w:tcPr>
            <w:tcW w:w="1280" w:type="dxa"/>
            <w:vMerge/>
            <w:tcBorders>
              <w:top w:val="single" w:sz="4" w:space="0" w:color="auto"/>
              <w:left w:val="single" w:sz="8" w:space="0" w:color="auto"/>
              <w:bottom w:val="single" w:sz="8" w:space="0" w:color="000000"/>
              <w:right w:val="single" w:sz="8" w:space="0" w:color="000000"/>
            </w:tcBorders>
            <w:vAlign w:val="center"/>
            <w:hideMark/>
          </w:tcPr>
          <w:p w14:paraId="42CCEDC2" w14:textId="77777777" w:rsidR="007D4CAE" w:rsidRPr="00725DA9" w:rsidRDefault="007D4CAE"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nil"/>
              <w:bottom w:val="single" w:sz="8" w:space="0" w:color="000000"/>
              <w:right w:val="single" w:sz="4" w:space="0" w:color="auto"/>
            </w:tcBorders>
            <w:vAlign w:val="center"/>
            <w:hideMark/>
          </w:tcPr>
          <w:p w14:paraId="4ACA07A3" w14:textId="77777777" w:rsidR="007D4CAE" w:rsidRPr="00725DA9" w:rsidRDefault="007D4CAE"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single" w:sz="8" w:space="0" w:color="auto"/>
              <w:bottom w:val="single" w:sz="8" w:space="0" w:color="000000"/>
              <w:right w:val="single" w:sz="8" w:space="0" w:color="000000"/>
            </w:tcBorders>
            <w:vAlign w:val="center"/>
            <w:hideMark/>
          </w:tcPr>
          <w:p w14:paraId="4393E217" w14:textId="77777777" w:rsidR="007D4CAE" w:rsidRPr="00725DA9" w:rsidRDefault="007D4CAE"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nil"/>
              <w:bottom w:val="single" w:sz="8" w:space="0" w:color="000000"/>
              <w:right w:val="single" w:sz="4" w:space="0" w:color="auto"/>
            </w:tcBorders>
            <w:vAlign w:val="center"/>
            <w:hideMark/>
          </w:tcPr>
          <w:p w14:paraId="1B555916" w14:textId="77777777" w:rsidR="007D4CAE" w:rsidRPr="00725DA9" w:rsidRDefault="007D4CAE"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single" w:sz="8" w:space="0" w:color="auto"/>
              <w:bottom w:val="single" w:sz="8" w:space="0" w:color="000000"/>
              <w:right w:val="single" w:sz="8" w:space="0" w:color="000000"/>
            </w:tcBorders>
            <w:vAlign w:val="center"/>
            <w:hideMark/>
          </w:tcPr>
          <w:p w14:paraId="34475478" w14:textId="77777777" w:rsidR="007D4CAE" w:rsidRPr="00725DA9" w:rsidRDefault="007D4CAE" w:rsidP="00B962A0">
            <w:pPr>
              <w:spacing w:after="0" w:line="240" w:lineRule="auto"/>
              <w:rPr>
                <w:rFonts w:ascii="Calibri" w:eastAsia="Times New Roman" w:hAnsi="Calibri" w:cs="Calibri"/>
                <w:color w:val="000000"/>
                <w:sz w:val="18"/>
                <w:szCs w:val="18"/>
              </w:rPr>
            </w:pPr>
          </w:p>
        </w:tc>
      </w:tr>
      <w:tr w:rsidR="007D4CAE" w:rsidRPr="00725DA9" w14:paraId="4241D345" w14:textId="77777777" w:rsidTr="007D4CAE">
        <w:trPr>
          <w:trHeight w:val="315"/>
          <w:jc w:val="center"/>
        </w:trPr>
        <w:tc>
          <w:tcPr>
            <w:tcW w:w="12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477A1F1" w14:textId="77777777" w:rsidR="007D4CAE" w:rsidRPr="00725DA9" w:rsidRDefault="007D4CAE"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w:t>
            </w:r>
            <w:r>
              <w:rPr>
                <w:rFonts w:ascii="Calibri" w:eastAsia="Times New Roman" w:hAnsi="Calibri" w:cs="Calibri"/>
                <w:b/>
                <w:bCs/>
                <w:color w:val="000000"/>
                <w:sz w:val="18"/>
                <w:szCs w:val="18"/>
              </w:rPr>
              <w:t>6</w:t>
            </w:r>
          </w:p>
        </w:tc>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C8C8CAC" w14:textId="77777777" w:rsidR="007D4CAE" w:rsidRPr="00725DA9" w:rsidRDefault="007D4CAE"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w:t>
            </w:r>
            <w:r>
              <w:rPr>
                <w:rFonts w:ascii="Calibri" w:eastAsia="Times New Roman" w:hAnsi="Calibri" w:cs="Calibri"/>
                <w:b/>
                <w:bCs/>
                <w:color w:val="000000"/>
                <w:sz w:val="18"/>
                <w:szCs w:val="18"/>
              </w:rPr>
              <w:t>5</w:t>
            </w:r>
          </w:p>
        </w:tc>
        <w:tc>
          <w:tcPr>
            <w:tcW w:w="1280" w:type="dxa"/>
            <w:tcBorders>
              <w:top w:val="single" w:sz="8" w:space="0" w:color="auto"/>
              <w:left w:val="nil"/>
              <w:bottom w:val="single" w:sz="8" w:space="0" w:color="auto"/>
              <w:right w:val="single" w:sz="4" w:space="0" w:color="auto"/>
            </w:tcBorders>
            <w:shd w:val="clear" w:color="auto" w:fill="auto"/>
            <w:noWrap/>
            <w:vAlign w:val="bottom"/>
            <w:hideMark/>
          </w:tcPr>
          <w:p w14:paraId="06FD481A" w14:textId="77777777" w:rsidR="007D4CAE" w:rsidRPr="00725DA9" w:rsidRDefault="007D4CAE"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w:t>
            </w:r>
            <w:r>
              <w:rPr>
                <w:rFonts w:ascii="Calibri" w:eastAsia="Times New Roman" w:hAnsi="Calibri" w:cs="Calibri"/>
                <w:b/>
                <w:bCs/>
                <w:color w:val="000000"/>
                <w:sz w:val="18"/>
                <w:szCs w:val="18"/>
              </w:rPr>
              <w:t>4</w:t>
            </w:r>
          </w:p>
        </w:tc>
        <w:tc>
          <w:tcPr>
            <w:tcW w:w="128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DC3C7F7" w14:textId="77777777" w:rsidR="007D4CAE" w:rsidRPr="00725DA9" w:rsidRDefault="007D4CAE"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w:t>
            </w:r>
            <w:r>
              <w:rPr>
                <w:rFonts w:ascii="Calibri" w:eastAsia="Times New Roman" w:hAnsi="Calibri" w:cs="Calibri"/>
                <w:b/>
                <w:bCs/>
                <w:color w:val="000000"/>
                <w:sz w:val="18"/>
                <w:szCs w:val="18"/>
              </w:rPr>
              <w:t>3</w:t>
            </w:r>
          </w:p>
        </w:tc>
        <w:tc>
          <w:tcPr>
            <w:tcW w:w="1280" w:type="dxa"/>
            <w:tcBorders>
              <w:top w:val="single" w:sz="8" w:space="0" w:color="auto"/>
              <w:left w:val="nil"/>
              <w:bottom w:val="single" w:sz="8" w:space="0" w:color="auto"/>
              <w:right w:val="single" w:sz="4" w:space="0" w:color="auto"/>
            </w:tcBorders>
            <w:shd w:val="clear" w:color="auto" w:fill="auto"/>
            <w:noWrap/>
            <w:vAlign w:val="bottom"/>
          </w:tcPr>
          <w:p w14:paraId="1ADB2341" w14:textId="77777777" w:rsidR="007D4CAE" w:rsidRPr="00725DA9" w:rsidRDefault="007D4CAE" w:rsidP="00B962A0">
            <w:pPr>
              <w:spacing w:after="0" w:line="240" w:lineRule="auto"/>
              <w:jc w:val="center"/>
              <w:rPr>
                <w:rFonts w:ascii="Calibri" w:eastAsia="Times New Roman" w:hAnsi="Calibri" w:cs="Calibri"/>
                <w:b/>
                <w:bCs/>
                <w:color w:val="000000"/>
                <w:sz w:val="18"/>
                <w:szCs w:val="18"/>
              </w:rPr>
            </w:pPr>
            <w:r w:rsidRPr="00725DA9">
              <w:rPr>
                <w:rFonts w:ascii="Calibri" w:eastAsia="Times New Roman" w:hAnsi="Calibri" w:cs="Calibri"/>
                <w:b/>
                <w:bCs/>
                <w:color w:val="000000"/>
                <w:sz w:val="18"/>
                <w:szCs w:val="18"/>
              </w:rPr>
              <w:t>2012</w:t>
            </w:r>
          </w:p>
        </w:tc>
      </w:tr>
      <w:tr w:rsidR="007D4CAE" w:rsidRPr="00725DA9" w14:paraId="2A546E6A" w14:textId="77777777" w:rsidTr="007D4CAE">
        <w:trPr>
          <w:trHeight w:val="450"/>
          <w:jc w:val="center"/>
        </w:trPr>
        <w:tc>
          <w:tcPr>
            <w:tcW w:w="128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7252D80D" w14:textId="77777777" w:rsidR="007D4CAE" w:rsidRPr="00725DA9" w:rsidRDefault="007D4CAE"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5/1 - 9/14</w:t>
            </w:r>
          </w:p>
        </w:tc>
        <w:tc>
          <w:tcPr>
            <w:tcW w:w="1280" w:type="dxa"/>
            <w:vMerge w:val="restart"/>
            <w:tcBorders>
              <w:top w:val="single" w:sz="4" w:space="0" w:color="auto"/>
              <w:left w:val="single" w:sz="8" w:space="0" w:color="auto"/>
              <w:bottom w:val="single" w:sz="8" w:space="0" w:color="000000"/>
              <w:right w:val="single" w:sz="8" w:space="0" w:color="000000"/>
            </w:tcBorders>
            <w:shd w:val="clear" w:color="000000" w:fill="D9E1F2"/>
            <w:vAlign w:val="center"/>
            <w:hideMark/>
          </w:tcPr>
          <w:p w14:paraId="6F3770B1" w14:textId="7275AA88" w:rsidR="007D4CAE" w:rsidRPr="00725DA9" w:rsidRDefault="007D4CAE"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5/1 - 9/14</w:t>
            </w:r>
          </w:p>
        </w:tc>
        <w:tc>
          <w:tcPr>
            <w:tcW w:w="1280" w:type="dxa"/>
            <w:vMerge w:val="restart"/>
            <w:tcBorders>
              <w:top w:val="single" w:sz="4" w:space="0" w:color="auto"/>
              <w:left w:val="nil"/>
              <w:bottom w:val="single" w:sz="8" w:space="0" w:color="000000"/>
              <w:right w:val="single" w:sz="4" w:space="0" w:color="auto"/>
            </w:tcBorders>
            <w:shd w:val="clear" w:color="auto" w:fill="auto"/>
            <w:vAlign w:val="center"/>
            <w:hideMark/>
          </w:tcPr>
          <w:p w14:paraId="3CEB2DD0" w14:textId="77777777" w:rsidR="007D4CAE" w:rsidRPr="00725DA9" w:rsidRDefault="007D4CAE"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w:t>
            </w:r>
            <w:r>
              <w:rPr>
                <w:rFonts w:ascii="Calibri" w:eastAsia="Times New Roman" w:hAnsi="Calibri" w:cs="Calibri"/>
                <w:color w:val="000000"/>
                <w:sz w:val="18"/>
                <w:szCs w:val="18"/>
              </w:rPr>
              <w:t>4</w:t>
            </w:r>
          </w:p>
        </w:tc>
        <w:tc>
          <w:tcPr>
            <w:tcW w:w="1280" w:type="dxa"/>
            <w:vMerge w:val="restart"/>
            <w:tcBorders>
              <w:top w:val="single" w:sz="4" w:space="0" w:color="auto"/>
              <w:left w:val="single" w:sz="8" w:space="0" w:color="auto"/>
              <w:bottom w:val="single" w:sz="8" w:space="0" w:color="000000"/>
              <w:right w:val="single" w:sz="8" w:space="0" w:color="000000"/>
            </w:tcBorders>
            <w:shd w:val="clear" w:color="000000" w:fill="D9E1F2"/>
            <w:vAlign w:val="center"/>
            <w:hideMark/>
          </w:tcPr>
          <w:p w14:paraId="2549539D" w14:textId="77777777" w:rsidR="007D4CAE" w:rsidRPr="00725DA9" w:rsidRDefault="007D4CAE"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w:t>
            </w:r>
            <w:r>
              <w:rPr>
                <w:rFonts w:ascii="Calibri" w:eastAsia="Times New Roman" w:hAnsi="Calibri" w:cs="Calibri"/>
                <w:color w:val="000000"/>
                <w:sz w:val="18"/>
                <w:szCs w:val="18"/>
              </w:rPr>
              <w:t>6</w:t>
            </w:r>
          </w:p>
        </w:tc>
        <w:tc>
          <w:tcPr>
            <w:tcW w:w="1280" w:type="dxa"/>
            <w:vMerge w:val="restart"/>
            <w:tcBorders>
              <w:top w:val="single" w:sz="4" w:space="0" w:color="auto"/>
              <w:left w:val="nil"/>
              <w:bottom w:val="single" w:sz="8" w:space="0" w:color="000000"/>
              <w:right w:val="single" w:sz="4" w:space="0" w:color="auto"/>
            </w:tcBorders>
            <w:shd w:val="clear" w:color="auto" w:fill="auto"/>
            <w:vAlign w:val="center"/>
          </w:tcPr>
          <w:p w14:paraId="091979B7" w14:textId="77777777" w:rsidR="007D4CAE" w:rsidRPr="00725DA9" w:rsidRDefault="007D4CAE" w:rsidP="00B962A0">
            <w:pPr>
              <w:spacing w:after="0" w:line="240" w:lineRule="auto"/>
              <w:jc w:val="center"/>
              <w:rPr>
                <w:rFonts w:ascii="Calibri" w:eastAsia="Times New Roman" w:hAnsi="Calibri" w:cs="Calibri"/>
                <w:color w:val="000000"/>
                <w:sz w:val="18"/>
                <w:szCs w:val="18"/>
              </w:rPr>
            </w:pPr>
            <w:r w:rsidRPr="00725DA9">
              <w:rPr>
                <w:rFonts w:ascii="Calibri" w:eastAsia="Times New Roman" w:hAnsi="Calibri" w:cs="Calibri"/>
                <w:color w:val="000000"/>
                <w:sz w:val="18"/>
                <w:szCs w:val="18"/>
              </w:rPr>
              <w:t>5/1 - 9/17</w:t>
            </w:r>
          </w:p>
        </w:tc>
      </w:tr>
      <w:tr w:rsidR="007D4CAE" w:rsidRPr="00725DA9" w14:paraId="6D9CB732" w14:textId="77777777" w:rsidTr="007D4CAE">
        <w:trPr>
          <w:trHeight w:val="450"/>
          <w:jc w:val="center"/>
        </w:trPr>
        <w:tc>
          <w:tcPr>
            <w:tcW w:w="1280" w:type="dxa"/>
            <w:vMerge/>
            <w:tcBorders>
              <w:top w:val="single" w:sz="4" w:space="0" w:color="auto"/>
              <w:left w:val="single" w:sz="8" w:space="0" w:color="auto"/>
              <w:bottom w:val="single" w:sz="8" w:space="0" w:color="000000"/>
              <w:right w:val="single" w:sz="4" w:space="0" w:color="auto"/>
            </w:tcBorders>
            <w:vAlign w:val="center"/>
            <w:hideMark/>
          </w:tcPr>
          <w:p w14:paraId="041CACA8" w14:textId="77777777" w:rsidR="007D4CAE" w:rsidRPr="00725DA9" w:rsidRDefault="007D4CAE"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single" w:sz="8" w:space="0" w:color="auto"/>
              <w:bottom w:val="single" w:sz="8" w:space="0" w:color="000000"/>
              <w:right w:val="single" w:sz="8" w:space="0" w:color="000000"/>
            </w:tcBorders>
            <w:vAlign w:val="center"/>
            <w:hideMark/>
          </w:tcPr>
          <w:p w14:paraId="5B185BD5" w14:textId="77777777" w:rsidR="007D4CAE" w:rsidRPr="00725DA9" w:rsidRDefault="007D4CAE"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nil"/>
              <w:bottom w:val="single" w:sz="8" w:space="0" w:color="000000"/>
              <w:right w:val="single" w:sz="4" w:space="0" w:color="auto"/>
            </w:tcBorders>
            <w:vAlign w:val="center"/>
            <w:hideMark/>
          </w:tcPr>
          <w:p w14:paraId="5087DA10" w14:textId="77777777" w:rsidR="007D4CAE" w:rsidRPr="00725DA9" w:rsidRDefault="007D4CAE"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single" w:sz="8" w:space="0" w:color="auto"/>
              <w:bottom w:val="single" w:sz="8" w:space="0" w:color="000000"/>
              <w:right w:val="single" w:sz="8" w:space="0" w:color="000000"/>
            </w:tcBorders>
            <w:vAlign w:val="center"/>
            <w:hideMark/>
          </w:tcPr>
          <w:p w14:paraId="06C56FEF" w14:textId="77777777" w:rsidR="007D4CAE" w:rsidRPr="00725DA9" w:rsidRDefault="007D4CAE" w:rsidP="00B962A0">
            <w:pPr>
              <w:spacing w:after="0" w:line="240" w:lineRule="auto"/>
              <w:rPr>
                <w:rFonts w:ascii="Calibri" w:eastAsia="Times New Roman" w:hAnsi="Calibri" w:cs="Calibri"/>
                <w:color w:val="000000"/>
                <w:sz w:val="18"/>
                <w:szCs w:val="18"/>
              </w:rPr>
            </w:pPr>
          </w:p>
        </w:tc>
        <w:tc>
          <w:tcPr>
            <w:tcW w:w="1280" w:type="dxa"/>
            <w:vMerge/>
            <w:tcBorders>
              <w:top w:val="single" w:sz="4" w:space="0" w:color="auto"/>
              <w:left w:val="nil"/>
              <w:bottom w:val="single" w:sz="8" w:space="0" w:color="000000"/>
              <w:right w:val="single" w:sz="4" w:space="0" w:color="auto"/>
            </w:tcBorders>
            <w:vAlign w:val="center"/>
          </w:tcPr>
          <w:p w14:paraId="5F63C850" w14:textId="77777777" w:rsidR="007D4CAE" w:rsidRPr="00725DA9" w:rsidRDefault="007D4CAE" w:rsidP="00B962A0">
            <w:pPr>
              <w:spacing w:after="0" w:line="240" w:lineRule="auto"/>
              <w:rPr>
                <w:rFonts w:ascii="Calibri" w:eastAsia="Times New Roman" w:hAnsi="Calibri" w:cs="Calibri"/>
                <w:color w:val="000000"/>
                <w:sz w:val="18"/>
                <w:szCs w:val="18"/>
              </w:rPr>
            </w:pPr>
          </w:p>
        </w:tc>
      </w:tr>
    </w:tbl>
    <w:p w14:paraId="2AAB726B" w14:textId="2C9D26C6" w:rsidR="00493F91" w:rsidRPr="00830F62" w:rsidRDefault="00725DA9" w:rsidP="003C6868">
      <w:pPr>
        <w:rPr>
          <w:sz w:val="20"/>
          <w:szCs w:val="20"/>
        </w:rPr>
      </w:pPr>
      <w:r w:rsidRPr="00830F62">
        <w:rPr>
          <w:b/>
          <w:bCs/>
          <w:sz w:val="20"/>
          <w:szCs w:val="20"/>
        </w:rPr>
        <w:t>Table 1:</w:t>
      </w:r>
      <w:r w:rsidRPr="00830F62">
        <w:rPr>
          <w:sz w:val="20"/>
          <w:szCs w:val="20"/>
        </w:rPr>
        <w:t xml:space="preserve"> The </w:t>
      </w:r>
      <w:r w:rsidR="00343258" w:rsidRPr="00830F62">
        <w:rPr>
          <w:sz w:val="20"/>
          <w:szCs w:val="20"/>
        </w:rPr>
        <w:t>timeframes when</w:t>
      </w:r>
      <w:r w:rsidRPr="00830F62">
        <w:rPr>
          <w:sz w:val="20"/>
          <w:szCs w:val="20"/>
        </w:rPr>
        <w:t xml:space="preserve"> JDA has temperature data</w:t>
      </w:r>
      <w:r w:rsidR="003C6868" w:rsidRPr="00830F62">
        <w:rPr>
          <w:sz w:val="20"/>
          <w:szCs w:val="20"/>
        </w:rPr>
        <w:t xml:space="preserve"> available</w:t>
      </w:r>
      <w:r w:rsidRPr="00830F62">
        <w:rPr>
          <w:sz w:val="20"/>
          <w:szCs w:val="20"/>
        </w:rPr>
        <w:t xml:space="preserve"> for the SFL </w:t>
      </w:r>
      <w:r w:rsidRPr="00830F62">
        <w:rPr>
          <w:sz w:val="20"/>
          <w:szCs w:val="20"/>
          <w:u w:val="single"/>
        </w:rPr>
        <w:t>and</w:t>
      </w:r>
      <w:r w:rsidRPr="00830F62">
        <w:rPr>
          <w:sz w:val="20"/>
          <w:szCs w:val="20"/>
        </w:rPr>
        <w:t xml:space="preserve"> USGS has temperatures</w:t>
      </w:r>
      <w:r w:rsidR="003C6868" w:rsidRPr="00830F62">
        <w:rPr>
          <w:sz w:val="20"/>
          <w:szCs w:val="20"/>
        </w:rPr>
        <w:t xml:space="preserve"> </w:t>
      </w:r>
      <w:r w:rsidR="00343258" w:rsidRPr="00830F62">
        <w:rPr>
          <w:sz w:val="20"/>
          <w:szCs w:val="20"/>
        </w:rPr>
        <w:t>available for the forebay</w:t>
      </w:r>
    </w:p>
    <w:p w14:paraId="23E53666" w14:textId="77777777" w:rsidR="00830F62" w:rsidRDefault="00830F62" w:rsidP="003C6868"/>
    <w:p w14:paraId="74733EEB" w14:textId="77777777" w:rsidR="00830F62" w:rsidRDefault="00830F62" w:rsidP="00830F62">
      <w:pPr>
        <w:rPr>
          <w:b/>
          <w:bCs/>
        </w:rPr>
      </w:pPr>
      <w:r w:rsidRPr="00074767">
        <w:rPr>
          <w:b/>
          <w:bCs/>
        </w:rPr>
        <w:t xml:space="preserve">Results: </w:t>
      </w:r>
    </w:p>
    <w:p w14:paraId="0441C273" w14:textId="77777777" w:rsidR="00830F62" w:rsidRDefault="00830F62" w:rsidP="00830F62">
      <w:r>
        <w:t xml:space="preserve">The SFL exit is typically warmer than the entrance (See Figure 2) and the exit temperatures tend to fluctuate more throughout the day (see Figure 3). </w:t>
      </w:r>
    </w:p>
    <w:p w14:paraId="69CD6534" w14:textId="77777777" w:rsidR="00830F62" w:rsidRDefault="00830F62" w:rsidP="00830F62">
      <w:r>
        <w:t xml:space="preserve">The average 10-year differential between the SFL exit and entrance (when the exit was </w:t>
      </w:r>
      <w:r>
        <w:rPr>
          <w:rFonts w:cstheme="minorHAnsi"/>
        </w:rPr>
        <w:t>≥</w:t>
      </w:r>
      <w:r>
        <w:t>70</w:t>
      </w:r>
      <w:r>
        <w:rPr>
          <w:rFonts w:cstheme="minorHAnsi"/>
        </w:rPr>
        <w:t>°</w:t>
      </w:r>
      <w:r>
        <w:t>F) was 0.93</w:t>
      </w:r>
      <w:r>
        <w:rPr>
          <w:rFonts w:cstheme="minorHAnsi"/>
        </w:rPr>
        <w:t>°</w:t>
      </w:r>
      <w:r>
        <w:t>F (See Table 2). When the temperature differential is ~</w:t>
      </w:r>
      <w:bookmarkStart w:id="0" w:name="_Hlk102488810"/>
      <w:r>
        <w:t>1.8</w:t>
      </w:r>
      <w:r>
        <w:rPr>
          <w:rFonts w:cstheme="minorHAnsi"/>
        </w:rPr>
        <w:t>°</w:t>
      </w:r>
      <w:r>
        <w:t>F (1</w:t>
      </w:r>
      <w:r>
        <w:rPr>
          <w:rFonts w:cstheme="minorHAnsi"/>
        </w:rPr>
        <w:t>°</w:t>
      </w:r>
      <w:r>
        <w:t xml:space="preserve">C) </w:t>
      </w:r>
      <w:bookmarkEnd w:id="0"/>
      <w:r>
        <w:t xml:space="preserve">salmonid passage is negatively impacted. Over the course of 10-years, the differential was </w:t>
      </w:r>
      <w:r>
        <w:rPr>
          <w:rFonts w:cstheme="minorHAnsi"/>
        </w:rPr>
        <w:t>≥1.8°</w:t>
      </w:r>
      <w:r>
        <w:t xml:space="preserve">F 20.69% of the time (when the exit was </w:t>
      </w:r>
      <w:r>
        <w:rPr>
          <w:rFonts w:cstheme="minorHAnsi"/>
        </w:rPr>
        <w:t>≥</w:t>
      </w:r>
      <w:r>
        <w:t>70</w:t>
      </w:r>
      <w:r>
        <w:rPr>
          <w:rFonts w:cstheme="minorHAnsi"/>
        </w:rPr>
        <w:t>°</w:t>
      </w:r>
      <w:r>
        <w:t xml:space="preserve">F). The highest percentage observed was 2015 (30.95%) and the lowest was 2013 (10.17%). </w:t>
      </w:r>
    </w:p>
    <w:p w14:paraId="07B07B46" w14:textId="36A29F12" w:rsidR="00830F62" w:rsidRDefault="00830F62" w:rsidP="00830F62">
      <w:r>
        <w:lastRenderedPageBreak/>
        <w:t xml:space="preserve">Fish run timing varies year to year and species to species at JDA (See Figure 4). When comparing the 10-year average water temperature to the 10-year average salmonid passage (at JDA) the following overlaps are observed. Steelhead have the highest interaction with warmer </w:t>
      </w:r>
      <w:r>
        <w:rPr>
          <w:rFonts w:cstheme="minorHAnsi"/>
        </w:rPr>
        <w:t>ladder temperatures at JDA with 45.0% of the total steelhead run passing when ladder temperatures are ≥70</w:t>
      </w:r>
      <w:r>
        <w:t xml:space="preserve"> F</w:t>
      </w:r>
      <w:r>
        <w:rPr>
          <w:rFonts w:cstheme="minorHAnsi"/>
        </w:rPr>
        <w:t xml:space="preserve">°. Sockeye </w:t>
      </w:r>
      <w:r w:rsidR="007A74C3">
        <w:rPr>
          <w:rFonts w:cstheme="minorHAnsi"/>
        </w:rPr>
        <w:t>passage has</w:t>
      </w:r>
      <w:r>
        <w:rPr>
          <w:rFonts w:cstheme="minorHAnsi"/>
        </w:rPr>
        <w:t xml:space="preserve"> the least overlap with 3.0% passing at temperatures of ≥70</w:t>
      </w:r>
      <w:r>
        <w:t xml:space="preserve"> F</w:t>
      </w:r>
      <w:r>
        <w:rPr>
          <w:rFonts w:cstheme="minorHAnsi"/>
        </w:rPr>
        <w:t xml:space="preserve">°. (Chinook = 37.0% and Coho = 34.3%). </w:t>
      </w:r>
    </w:p>
    <w:p w14:paraId="1512869F" w14:textId="26B3D981" w:rsidR="00B66908" w:rsidRDefault="00830F62" w:rsidP="00E13C2F">
      <w:pPr>
        <w:jc w:val="center"/>
      </w:pPr>
      <w:r>
        <w:rPr>
          <w:noProof/>
        </w:rPr>
        <w:drawing>
          <wp:inline distT="0" distB="0" distL="0" distR="0" wp14:anchorId="3A34454C" wp14:editId="53110D89">
            <wp:extent cx="5029200" cy="3108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108960"/>
                    </a:xfrm>
                    <a:prstGeom prst="rect">
                      <a:avLst/>
                    </a:prstGeom>
                    <a:noFill/>
                  </pic:spPr>
                </pic:pic>
              </a:graphicData>
            </a:graphic>
          </wp:inline>
        </w:drawing>
      </w:r>
    </w:p>
    <w:p w14:paraId="2FCB38D1" w14:textId="6E058E57" w:rsidR="00830F62" w:rsidRPr="00511809" w:rsidRDefault="004455D3" w:rsidP="00E13C2F">
      <w:pPr>
        <w:jc w:val="center"/>
        <w:rPr>
          <w:sz w:val="20"/>
          <w:szCs w:val="20"/>
        </w:rPr>
      </w:pPr>
      <w:r w:rsidRPr="00511809">
        <w:rPr>
          <w:b/>
          <w:bCs/>
          <w:sz w:val="20"/>
          <w:szCs w:val="20"/>
        </w:rPr>
        <w:t>Figure 2:</w:t>
      </w:r>
      <w:r w:rsidRPr="00511809">
        <w:rPr>
          <w:sz w:val="20"/>
          <w:szCs w:val="20"/>
        </w:rPr>
        <w:t xml:space="preserve"> The SFL entrance</w:t>
      </w:r>
      <w:r w:rsidR="00830F62" w:rsidRPr="00511809">
        <w:rPr>
          <w:sz w:val="20"/>
          <w:szCs w:val="20"/>
        </w:rPr>
        <w:t>-</w:t>
      </w:r>
      <w:r w:rsidR="001408E3" w:rsidRPr="00511809">
        <w:rPr>
          <w:sz w:val="20"/>
          <w:szCs w:val="20"/>
        </w:rPr>
        <w:t>exit hourly</w:t>
      </w:r>
      <w:r w:rsidR="00830F62" w:rsidRPr="00511809">
        <w:rPr>
          <w:sz w:val="20"/>
          <w:szCs w:val="20"/>
        </w:rPr>
        <w:t xml:space="preserve"> </w:t>
      </w:r>
      <w:proofErr w:type="gramStart"/>
      <w:r w:rsidRPr="00511809">
        <w:rPr>
          <w:sz w:val="20"/>
          <w:szCs w:val="20"/>
        </w:rPr>
        <w:t>temps</w:t>
      </w:r>
      <w:proofErr w:type="gramEnd"/>
      <w:r w:rsidRPr="00511809">
        <w:rPr>
          <w:sz w:val="20"/>
          <w:szCs w:val="20"/>
        </w:rPr>
        <w:t xml:space="preserve"> shown as a 10-year average (</w:t>
      </w:r>
      <w:r w:rsidR="00830F62" w:rsidRPr="00511809">
        <w:rPr>
          <w:sz w:val="20"/>
          <w:szCs w:val="20"/>
        </w:rPr>
        <w:t>June</w:t>
      </w:r>
      <w:r w:rsidRPr="00511809">
        <w:rPr>
          <w:sz w:val="20"/>
          <w:szCs w:val="20"/>
        </w:rPr>
        <w:t xml:space="preserve"> 1</w:t>
      </w:r>
      <w:r w:rsidRPr="00511809">
        <w:rPr>
          <w:sz w:val="20"/>
          <w:szCs w:val="20"/>
          <w:vertAlign w:val="superscript"/>
        </w:rPr>
        <w:t>st</w:t>
      </w:r>
      <w:r w:rsidRPr="00511809">
        <w:rPr>
          <w:sz w:val="20"/>
          <w:szCs w:val="20"/>
        </w:rPr>
        <w:t xml:space="preserve"> – September 30</w:t>
      </w:r>
      <w:r w:rsidRPr="00511809">
        <w:rPr>
          <w:sz w:val="20"/>
          <w:szCs w:val="20"/>
          <w:vertAlign w:val="superscript"/>
        </w:rPr>
        <w:t>th</w:t>
      </w:r>
      <w:r w:rsidRPr="00511809">
        <w:rPr>
          <w:sz w:val="20"/>
          <w:szCs w:val="20"/>
        </w:rPr>
        <w:t xml:space="preserve">). </w:t>
      </w:r>
    </w:p>
    <w:p w14:paraId="3C6C0840" w14:textId="77777777" w:rsidR="00830F62" w:rsidRDefault="00830F62" w:rsidP="00830F62">
      <w:pPr>
        <w:jc w:val="center"/>
      </w:pPr>
      <w:r>
        <w:rPr>
          <w:noProof/>
        </w:rPr>
        <w:drawing>
          <wp:inline distT="0" distB="0" distL="0" distR="0" wp14:anchorId="23426F80" wp14:editId="50411FA1">
            <wp:extent cx="5303520" cy="3108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20" cy="3108960"/>
                    </a:xfrm>
                    <a:prstGeom prst="rect">
                      <a:avLst/>
                    </a:prstGeom>
                    <a:noFill/>
                  </pic:spPr>
                </pic:pic>
              </a:graphicData>
            </a:graphic>
          </wp:inline>
        </w:drawing>
      </w:r>
    </w:p>
    <w:p w14:paraId="4147ABD4" w14:textId="710FD0A1" w:rsidR="00511809" w:rsidRPr="00511809" w:rsidRDefault="00595125" w:rsidP="00511809">
      <w:pPr>
        <w:jc w:val="center"/>
      </w:pPr>
      <w:r w:rsidRPr="00511809">
        <w:rPr>
          <w:b/>
          <w:bCs/>
          <w:sz w:val="20"/>
          <w:szCs w:val="20"/>
        </w:rPr>
        <w:t>Figure 3:</w:t>
      </w:r>
      <w:r w:rsidRPr="00511809">
        <w:rPr>
          <w:sz w:val="20"/>
          <w:szCs w:val="20"/>
        </w:rPr>
        <w:t xml:space="preserve"> Graph illustrating </w:t>
      </w:r>
      <w:r w:rsidR="00741935" w:rsidRPr="00511809">
        <w:rPr>
          <w:sz w:val="20"/>
          <w:szCs w:val="20"/>
        </w:rPr>
        <w:t>temperature differentials between the</w:t>
      </w:r>
      <w:r w:rsidRPr="00511809">
        <w:rPr>
          <w:sz w:val="20"/>
          <w:szCs w:val="20"/>
        </w:rPr>
        <w:t xml:space="preserve"> SFL exit </w:t>
      </w:r>
      <w:r w:rsidR="00741935" w:rsidRPr="00511809">
        <w:rPr>
          <w:sz w:val="20"/>
          <w:szCs w:val="20"/>
        </w:rPr>
        <w:t>and</w:t>
      </w:r>
      <w:r w:rsidRPr="00511809">
        <w:rPr>
          <w:sz w:val="20"/>
          <w:szCs w:val="20"/>
        </w:rPr>
        <w:t xml:space="preserve"> the SFL entrance at different </w:t>
      </w:r>
      <w:r w:rsidR="00914F8F" w:rsidRPr="00511809">
        <w:rPr>
          <w:sz w:val="20"/>
          <w:szCs w:val="20"/>
        </w:rPr>
        <w:t>times</w:t>
      </w:r>
      <w:r w:rsidR="0004757E" w:rsidRPr="00511809">
        <w:rPr>
          <w:sz w:val="20"/>
          <w:szCs w:val="20"/>
        </w:rPr>
        <w:t xml:space="preserve"> </w:t>
      </w:r>
      <w:r w:rsidRPr="00511809">
        <w:rPr>
          <w:sz w:val="20"/>
          <w:szCs w:val="20"/>
        </w:rPr>
        <w:t>of the day</w:t>
      </w:r>
      <w:r w:rsidR="00741935" w:rsidRPr="00511809">
        <w:rPr>
          <w:sz w:val="20"/>
          <w:szCs w:val="20"/>
        </w:rPr>
        <w:t xml:space="preserve"> (how many degrees </w:t>
      </w:r>
      <w:r w:rsidR="00741935" w:rsidRPr="00511809">
        <w:rPr>
          <w:rFonts w:cstheme="minorHAnsi"/>
          <w:sz w:val="20"/>
          <w:szCs w:val="20"/>
        </w:rPr>
        <w:t>°</w:t>
      </w:r>
      <w:r w:rsidR="00741935" w:rsidRPr="00511809">
        <w:rPr>
          <w:sz w:val="20"/>
          <w:szCs w:val="20"/>
        </w:rPr>
        <w:t>F the exit is warmer than the entrance)</w:t>
      </w:r>
      <w:r w:rsidRPr="00511809">
        <w:rPr>
          <w:sz w:val="20"/>
          <w:szCs w:val="20"/>
        </w:rPr>
        <w:t xml:space="preserve">. The values are </w:t>
      </w:r>
      <w:r w:rsidR="0004757E" w:rsidRPr="00511809">
        <w:rPr>
          <w:sz w:val="20"/>
          <w:szCs w:val="20"/>
        </w:rPr>
        <w:t xml:space="preserve">shown as 10-year </w:t>
      </w:r>
      <w:r w:rsidRPr="00511809">
        <w:rPr>
          <w:sz w:val="20"/>
          <w:szCs w:val="20"/>
        </w:rPr>
        <w:t>average temperatures</w:t>
      </w:r>
      <w:r w:rsidR="00914F8F" w:rsidRPr="00511809">
        <w:rPr>
          <w:sz w:val="20"/>
          <w:szCs w:val="20"/>
        </w:rPr>
        <w:t xml:space="preserve"> (2012 – 2021)</w:t>
      </w:r>
      <w:r w:rsidRPr="00511809">
        <w:rPr>
          <w:sz w:val="20"/>
          <w:szCs w:val="20"/>
        </w:rPr>
        <w:t xml:space="preserve"> at specific hourly intervals from </w:t>
      </w:r>
      <w:r w:rsidR="00785E02" w:rsidRPr="009C75E3">
        <w:rPr>
          <w:sz w:val="20"/>
          <w:szCs w:val="20"/>
        </w:rPr>
        <w:t xml:space="preserve">June </w:t>
      </w:r>
      <w:r w:rsidRPr="009C75E3">
        <w:rPr>
          <w:sz w:val="20"/>
          <w:szCs w:val="20"/>
        </w:rPr>
        <w:t>1</w:t>
      </w:r>
      <w:r w:rsidR="0004757E" w:rsidRPr="009C75E3">
        <w:rPr>
          <w:sz w:val="20"/>
          <w:szCs w:val="20"/>
          <w:vertAlign w:val="superscript"/>
        </w:rPr>
        <w:t>st</w:t>
      </w:r>
      <w:r w:rsidRPr="009C75E3">
        <w:rPr>
          <w:sz w:val="20"/>
          <w:szCs w:val="20"/>
        </w:rPr>
        <w:t xml:space="preserve"> – September 30</w:t>
      </w:r>
      <w:r w:rsidRPr="009C75E3">
        <w:rPr>
          <w:sz w:val="20"/>
          <w:szCs w:val="20"/>
          <w:vertAlign w:val="superscript"/>
        </w:rPr>
        <w:t>th</w:t>
      </w:r>
      <w:r w:rsidRPr="009C75E3">
        <w:rPr>
          <w:sz w:val="20"/>
          <w:szCs w:val="20"/>
        </w:rPr>
        <w:t>.</w:t>
      </w:r>
      <w:r w:rsidRPr="00511809">
        <w:rPr>
          <w:sz w:val="20"/>
          <w:szCs w:val="20"/>
        </w:rPr>
        <w:t xml:space="preserve"> </w:t>
      </w:r>
      <w:r w:rsidR="00511809" w:rsidRPr="006F4B9A">
        <w:rPr>
          <w:noProof/>
        </w:rPr>
        <w:lastRenderedPageBreak/>
        <w:drawing>
          <wp:inline distT="0" distB="0" distL="0" distR="0" wp14:anchorId="20E1DE92" wp14:editId="059195D6">
            <wp:extent cx="4992624" cy="23774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2624" cy="2377440"/>
                    </a:xfrm>
                    <a:prstGeom prst="rect">
                      <a:avLst/>
                    </a:prstGeom>
                    <a:noFill/>
                    <a:ln>
                      <a:noFill/>
                    </a:ln>
                  </pic:spPr>
                </pic:pic>
              </a:graphicData>
            </a:graphic>
          </wp:inline>
        </w:drawing>
      </w:r>
      <w:r w:rsidR="00511809" w:rsidRPr="006F4B9A">
        <w:rPr>
          <w:noProof/>
        </w:rPr>
        <w:drawing>
          <wp:inline distT="0" distB="0" distL="0" distR="0" wp14:anchorId="4DF3DF78" wp14:editId="6A34C5B5">
            <wp:extent cx="4992624" cy="2377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2624" cy="2377440"/>
                    </a:xfrm>
                    <a:prstGeom prst="rect">
                      <a:avLst/>
                    </a:prstGeom>
                    <a:noFill/>
                    <a:ln>
                      <a:noFill/>
                    </a:ln>
                  </pic:spPr>
                </pic:pic>
              </a:graphicData>
            </a:graphic>
          </wp:inline>
        </w:drawing>
      </w:r>
      <w:r w:rsidR="00511809" w:rsidRPr="006F4B9A">
        <w:rPr>
          <w:noProof/>
        </w:rPr>
        <w:drawing>
          <wp:inline distT="0" distB="0" distL="0" distR="0" wp14:anchorId="296AF33D" wp14:editId="7036324E">
            <wp:extent cx="4992624" cy="23774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2624" cy="2377440"/>
                    </a:xfrm>
                    <a:prstGeom prst="rect">
                      <a:avLst/>
                    </a:prstGeom>
                    <a:noFill/>
                    <a:ln>
                      <a:noFill/>
                    </a:ln>
                  </pic:spPr>
                </pic:pic>
              </a:graphicData>
            </a:graphic>
          </wp:inline>
        </w:drawing>
      </w:r>
      <w:r w:rsidR="00830F62" w:rsidRPr="00830F62">
        <w:rPr>
          <w:b/>
          <w:bCs/>
        </w:rPr>
        <w:t xml:space="preserve"> </w:t>
      </w:r>
    </w:p>
    <w:p w14:paraId="09979E88" w14:textId="36BB0CB1" w:rsidR="00830F62" w:rsidRPr="0018469C" w:rsidRDefault="00830F62" w:rsidP="00830F62">
      <w:pPr>
        <w:jc w:val="center"/>
      </w:pPr>
      <w:r w:rsidRPr="00511809">
        <w:rPr>
          <w:b/>
          <w:bCs/>
          <w:sz w:val="20"/>
          <w:szCs w:val="20"/>
        </w:rPr>
        <w:t>Table 2:</w:t>
      </w:r>
      <w:r w:rsidRPr="00511809">
        <w:rPr>
          <w:sz w:val="20"/>
          <w:szCs w:val="20"/>
        </w:rPr>
        <w:t xml:space="preserve"> Table representing the total number of hours the JDA SFL exit was </w:t>
      </w:r>
      <w:r w:rsidRPr="00511809">
        <w:rPr>
          <w:rFonts w:cstheme="minorHAnsi"/>
          <w:sz w:val="20"/>
          <w:szCs w:val="20"/>
        </w:rPr>
        <w:t>≥</w:t>
      </w:r>
      <w:r w:rsidRPr="00511809">
        <w:rPr>
          <w:sz w:val="20"/>
          <w:szCs w:val="20"/>
        </w:rPr>
        <w:t xml:space="preserve"> </w:t>
      </w:r>
      <w:bookmarkStart w:id="1" w:name="_Hlk102488877"/>
      <w:r w:rsidRPr="00511809">
        <w:rPr>
          <w:sz w:val="20"/>
          <w:szCs w:val="20"/>
        </w:rPr>
        <w:t>70</w:t>
      </w:r>
      <w:r w:rsidRPr="00511809">
        <w:rPr>
          <w:rFonts w:cstheme="minorHAnsi"/>
          <w:sz w:val="20"/>
          <w:szCs w:val="20"/>
        </w:rPr>
        <w:t>°</w:t>
      </w:r>
      <w:r w:rsidRPr="00511809">
        <w:rPr>
          <w:sz w:val="20"/>
          <w:szCs w:val="20"/>
        </w:rPr>
        <w:t xml:space="preserve">F </w:t>
      </w:r>
      <w:bookmarkEnd w:id="1"/>
      <w:r w:rsidRPr="00511809">
        <w:rPr>
          <w:sz w:val="20"/>
          <w:szCs w:val="20"/>
        </w:rPr>
        <w:t xml:space="preserve">and of those hours, the number of hours the SFL exit was </w:t>
      </w:r>
      <w:r w:rsidRPr="00511809">
        <w:rPr>
          <w:rFonts w:cstheme="minorHAnsi"/>
          <w:sz w:val="20"/>
          <w:szCs w:val="20"/>
        </w:rPr>
        <w:t>≥ 1.8 °F (</w:t>
      </w:r>
      <w:r w:rsidRPr="00511809">
        <w:rPr>
          <w:sz w:val="20"/>
          <w:szCs w:val="20"/>
        </w:rPr>
        <w:t>1</w:t>
      </w:r>
      <w:r w:rsidRPr="00511809">
        <w:rPr>
          <w:rFonts w:cstheme="minorHAnsi"/>
          <w:sz w:val="20"/>
          <w:szCs w:val="20"/>
        </w:rPr>
        <w:t>°</w:t>
      </w:r>
      <w:r w:rsidRPr="00511809">
        <w:rPr>
          <w:sz w:val="20"/>
          <w:szCs w:val="20"/>
        </w:rPr>
        <w:t xml:space="preserve">C) warmer than the SFL entrance. The percentage represents the time when the SFL exit was </w:t>
      </w:r>
      <w:r w:rsidRPr="00511809">
        <w:rPr>
          <w:rFonts w:cstheme="minorHAnsi"/>
          <w:sz w:val="20"/>
          <w:szCs w:val="20"/>
        </w:rPr>
        <w:t>≥</w:t>
      </w:r>
      <w:r w:rsidRPr="00511809">
        <w:rPr>
          <w:sz w:val="20"/>
          <w:szCs w:val="20"/>
        </w:rPr>
        <w:t xml:space="preserve"> 1.8</w:t>
      </w:r>
      <w:r w:rsidRPr="00511809">
        <w:rPr>
          <w:rFonts w:cstheme="minorHAnsi"/>
          <w:sz w:val="20"/>
          <w:szCs w:val="20"/>
        </w:rPr>
        <w:t>°</w:t>
      </w:r>
      <w:r w:rsidRPr="00511809">
        <w:rPr>
          <w:sz w:val="20"/>
          <w:szCs w:val="20"/>
        </w:rPr>
        <w:t xml:space="preserve">F warmer than the entrance (when the SFL exit was </w:t>
      </w:r>
      <w:r w:rsidRPr="00511809">
        <w:rPr>
          <w:rFonts w:cstheme="minorHAnsi"/>
          <w:sz w:val="20"/>
          <w:szCs w:val="20"/>
        </w:rPr>
        <w:t>≥</w:t>
      </w:r>
      <w:r w:rsidRPr="00511809">
        <w:rPr>
          <w:sz w:val="20"/>
          <w:szCs w:val="20"/>
        </w:rPr>
        <w:t>70</w:t>
      </w:r>
      <w:r w:rsidRPr="00511809">
        <w:rPr>
          <w:rFonts w:cstheme="minorHAnsi"/>
          <w:sz w:val="20"/>
          <w:szCs w:val="20"/>
        </w:rPr>
        <w:t>°</w:t>
      </w:r>
      <w:r w:rsidRPr="00511809">
        <w:rPr>
          <w:sz w:val="20"/>
          <w:szCs w:val="20"/>
        </w:rPr>
        <w:t>F). Tables show a 10-year span and are broken up by; June - July, August – September, and both combined (June – September). There are 2,928 hours between June 1</w:t>
      </w:r>
      <w:r w:rsidRPr="00511809">
        <w:rPr>
          <w:sz w:val="20"/>
          <w:szCs w:val="20"/>
          <w:vertAlign w:val="superscript"/>
        </w:rPr>
        <w:t>st</w:t>
      </w:r>
      <w:r w:rsidRPr="00511809">
        <w:rPr>
          <w:sz w:val="20"/>
          <w:szCs w:val="20"/>
        </w:rPr>
        <w:t xml:space="preserve"> and September 30</w:t>
      </w:r>
      <w:r w:rsidRPr="00511809">
        <w:rPr>
          <w:sz w:val="20"/>
          <w:szCs w:val="20"/>
          <w:vertAlign w:val="superscript"/>
        </w:rPr>
        <w:t>th</w:t>
      </w:r>
      <w:r w:rsidRPr="00511809">
        <w:rPr>
          <w:sz w:val="20"/>
          <w:szCs w:val="20"/>
        </w:rPr>
        <w:t xml:space="preserve">. </w:t>
      </w:r>
    </w:p>
    <w:p w14:paraId="012E9739" w14:textId="18A98E97" w:rsidR="00830F62" w:rsidRDefault="00830F62" w:rsidP="00830F62">
      <w:pPr>
        <w:jc w:val="right"/>
      </w:pPr>
    </w:p>
    <w:p w14:paraId="3068CF87" w14:textId="14F03189" w:rsidR="00595125" w:rsidRDefault="00830F62" w:rsidP="00E13C2F">
      <w:pPr>
        <w:jc w:val="center"/>
      </w:pPr>
      <w:r>
        <w:rPr>
          <w:noProof/>
        </w:rPr>
        <w:drawing>
          <wp:inline distT="0" distB="0" distL="0" distR="0" wp14:anchorId="5DA91894" wp14:editId="5ACB2D4A">
            <wp:extent cx="5943600" cy="37537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53719"/>
                    </a:xfrm>
                    <a:prstGeom prst="rect">
                      <a:avLst/>
                    </a:prstGeom>
                    <a:noFill/>
                  </pic:spPr>
                </pic:pic>
              </a:graphicData>
            </a:graphic>
          </wp:inline>
        </w:drawing>
      </w:r>
    </w:p>
    <w:p w14:paraId="58DC37C1" w14:textId="77777777" w:rsidR="00830F62" w:rsidRPr="00511809" w:rsidRDefault="00830F62" w:rsidP="00830F62">
      <w:pPr>
        <w:jc w:val="center"/>
        <w:rPr>
          <w:sz w:val="20"/>
          <w:szCs w:val="20"/>
        </w:rPr>
      </w:pPr>
      <w:r w:rsidRPr="00511809">
        <w:rPr>
          <w:b/>
          <w:bCs/>
          <w:sz w:val="20"/>
          <w:szCs w:val="20"/>
        </w:rPr>
        <w:t>Figure 4:</w:t>
      </w:r>
      <w:r w:rsidRPr="00511809">
        <w:rPr>
          <w:sz w:val="20"/>
          <w:szCs w:val="20"/>
        </w:rPr>
        <w:t xml:space="preserve"> The 10-year average (2012 - 2021) for Chinook, steelhead, sockeye, and coho passage at John Day Dam. The secondary axis is the average daily water temperature at the JDA south fish ladder exit. </w:t>
      </w:r>
    </w:p>
    <w:p w14:paraId="4DFFE30B" w14:textId="6B643152" w:rsidR="00D076B8" w:rsidRDefault="005F344F" w:rsidP="00D076B8">
      <w:pPr>
        <w:rPr>
          <w:b/>
          <w:bCs/>
        </w:rPr>
      </w:pPr>
      <w:r>
        <w:rPr>
          <w:b/>
          <w:bCs/>
        </w:rPr>
        <w:t>Ladder Operations</w:t>
      </w:r>
      <w:r w:rsidR="00D076B8">
        <w:rPr>
          <w:b/>
          <w:bCs/>
        </w:rPr>
        <w:t>:</w:t>
      </w:r>
    </w:p>
    <w:p w14:paraId="440F59F4" w14:textId="5BD635ED" w:rsidR="00E66B3C" w:rsidRDefault="00D076B8" w:rsidP="00D076B8">
      <w:r>
        <w:t xml:space="preserve">The John Day Dam South fish ladder uses </w:t>
      </w:r>
      <w:r w:rsidR="007A74C3">
        <w:t xml:space="preserve">three </w:t>
      </w:r>
      <w:r>
        <w:t>Francis turbine pumps to supply attraction water for the SFL</w:t>
      </w:r>
      <w:r w:rsidR="00511809">
        <w:t xml:space="preserve"> </w:t>
      </w:r>
      <w:r w:rsidR="00E66B3C">
        <w:t>(</w:t>
      </w:r>
      <w:r w:rsidR="00511809" w:rsidRPr="00511809">
        <w:t>See Figure 5</w:t>
      </w:r>
      <w:r w:rsidR="00E66B3C">
        <w:t>)</w:t>
      </w:r>
      <w:r>
        <w:t xml:space="preserve">.  The turbine pumps are supplied by a </w:t>
      </w:r>
      <w:proofErr w:type="gramStart"/>
      <w:r>
        <w:t>5</w:t>
      </w:r>
      <w:proofErr w:type="gramEnd"/>
      <w:r>
        <w:t xml:space="preserve">’ penstock located at 200’ msl in the forebay of the dam </w:t>
      </w:r>
      <w:r w:rsidR="00F55BA1">
        <w:t>approximately 90-feet n</w:t>
      </w:r>
      <w:r>
        <w:t>orth of the fish ladder exit.</w:t>
      </w:r>
      <w:r w:rsidR="001E0C07">
        <w:t xml:space="preserve">  </w:t>
      </w:r>
      <w:r w:rsidR="00F55BA1" w:rsidRPr="00F55BA1">
        <w:t>The turbine drives a gear box that pumps water from a stilling basin on the downstream side of the dam at 90’ msl</w:t>
      </w:r>
      <w:r w:rsidR="00F55BA1">
        <w:t xml:space="preserve">. </w:t>
      </w:r>
      <w:r w:rsidR="00241345">
        <w:t xml:space="preserve">Normal forebay and tailrace operations at JDA are 262.5’ – 266.5’ msl and 159’ – 162.5’.   </w:t>
      </w:r>
      <w:r w:rsidR="0061292F">
        <w:t xml:space="preserve">This water is used for attraction flows at the SFL entrances, collection channel flow between the South and North ends of the powerhouse and diffusion chambers in the lower overflow weirs above the transition pool at the base of ladder.  </w:t>
      </w:r>
    </w:p>
    <w:p w14:paraId="219B6891" w14:textId="77777777" w:rsidR="0061292F" w:rsidRDefault="0061292F" w:rsidP="00D076B8"/>
    <w:p w14:paraId="1980D46D" w14:textId="5FD52BBA" w:rsidR="00E66B3C" w:rsidRDefault="00E66B3C" w:rsidP="00E66B3C">
      <w:pPr>
        <w:jc w:val="center"/>
      </w:pPr>
      <w:r>
        <w:rPr>
          <w:noProof/>
        </w:rPr>
        <w:lastRenderedPageBreak/>
        <w:drawing>
          <wp:inline distT="0" distB="0" distL="0" distR="0" wp14:anchorId="11F6E0D3" wp14:editId="555F0226">
            <wp:extent cx="5943600" cy="3973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p>
    <w:p w14:paraId="13C47642" w14:textId="564FB54F" w:rsidR="00E66B3C" w:rsidRPr="00511809" w:rsidRDefault="00E66B3C" w:rsidP="00511809">
      <w:pPr>
        <w:jc w:val="center"/>
        <w:rPr>
          <w:sz w:val="20"/>
          <w:szCs w:val="20"/>
        </w:rPr>
      </w:pPr>
      <w:r w:rsidRPr="00511809">
        <w:rPr>
          <w:b/>
          <w:bCs/>
          <w:sz w:val="20"/>
          <w:szCs w:val="20"/>
        </w:rPr>
        <w:t xml:space="preserve">Figure </w:t>
      </w:r>
      <w:r w:rsidR="00511809" w:rsidRPr="00511809">
        <w:rPr>
          <w:b/>
          <w:bCs/>
          <w:sz w:val="20"/>
          <w:szCs w:val="20"/>
        </w:rPr>
        <w:t>5</w:t>
      </w:r>
      <w:r w:rsidRPr="00511809">
        <w:rPr>
          <w:b/>
          <w:bCs/>
          <w:sz w:val="20"/>
          <w:szCs w:val="20"/>
        </w:rPr>
        <w:t>:</w:t>
      </w:r>
      <w:r w:rsidRPr="0061292F">
        <w:rPr>
          <w:sz w:val="20"/>
          <w:szCs w:val="20"/>
        </w:rPr>
        <w:t xml:space="preserve"> Transverse cross section of assembly bay showing SFL fish turbine penstock intake and discharge and pump assembly intake and discharge.</w:t>
      </w:r>
    </w:p>
    <w:p w14:paraId="29CE3922" w14:textId="4F7502B2" w:rsidR="001E0C07" w:rsidRDefault="0061292F" w:rsidP="00D076B8">
      <w:r>
        <w:t>Additionally, water is added to the SFL from diffuser #5 above weir 248 which is the last overflow weir before the start of the exit control section</w:t>
      </w:r>
      <w:r w:rsidR="00D2387D">
        <w:t xml:space="preserve"> </w:t>
      </w:r>
      <w:r w:rsidR="00D2387D" w:rsidRPr="00511809">
        <w:t>(</w:t>
      </w:r>
      <w:r w:rsidR="00511809" w:rsidRPr="00511809">
        <w:t>See Figure 6</w:t>
      </w:r>
      <w:r w:rsidR="00D2387D" w:rsidRPr="00511809">
        <w:t>)</w:t>
      </w:r>
      <w:r w:rsidRPr="00511809">
        <w:t xml:space="preserve">.  </w:t>
      </w:r>
      <w:r w:rsidR="00BB7474">
        <w:t xml:space="preserve">The diffuser is fed from two </w:t>
      </w:r>
      <w:proofErr w:type="gramStart"/>
      <w:r w:rsidR="00BB7474">
        <w:t>24</w:t>
      </w:r>
      <w:proofErr w:type="gramEnd"/>
      <w:r w:rsidR="00BB7474">
        <w:t>” supply lines from a forebay intake at 238’ msl</w:t>
      </w:r>
      <w:r w:rsidR="00D975BE">
        <w:t xml:space="preserve">. </w:t>
      </w:r>
      <w:r w:rsidR="00BB7474">
        <w:t xml:space="preserve">Actuated butterfly valves automatically adjust flow to the diffuser keeping </w:t>
      </w:r>
      <w:proofErr w:type="gramStart"/>
      <w:r w:rsidR="00BB7474">
        <w:t>1</w:t>
      </w:r>
      <w:proofErr w:type="gramEnd"/>
      <w:r w:rsidR="00BB7474">
        <w:t xml:space="preserve">’- 1.3’ of water over the overflow weirs depending on the ladder setting.  The level is monitored </w:t>
      </w:r>
      <w:r w:rsidR="00506F38">
        <w:t xml:space="preserve">and adjusted from readings taken </w:t>
      </w:r>
      <w:r w:rsidR="00BB7474">
        <w:t xml:space="preserve">between weirs 193 and 194 at the SFL count station. </w:t>
      </w:r>
      <w:r w:rsidR="001F425B">
        <w:t xml:space="preserve"> Water flows</w:t>
      </w:r>
      <w:r w:rsidR="00AF0DAC">
        <w:t xml:space="preserve"> </w:t>
      </w:r>
      <w:r w:rsidR="00A16EEA">
        <w:t xml:space="preserve">from diffuser #5 </w:t>
      </w:r>
      <w:r w:rsidR="00AF0DAC">
        <w:t>range</w:t>
      </w:r>
      <w:r w:rsidR="001F425B">
        <w:t xml:space="preserve"> from</w:t>
      </w:r>
      <w:r w:rsidR="00AF0DAC">
        <w:t xml:space="preserve"> 5.5 – 88.1 </w:t>
      </w:r>
      <w:proofErr w:type="spellStart"/>
      <w:r w:rsidR="00AF0DAC">
        <w:t>cfs</w:t>
      </w:r>
      <w:proofErr w:type="spellEnd"/>
      <w:r w:rsidR="00AF0DAC">
        <w:t xml:space="preserve"> and</w:t>
      </w:r>
      <w:r w:rsidR="001F425B">
        <w:t xml:space="preserve"> v</w:t>
      </w:r>
      <w:r w:rsidR="00BF5601">
        <w:t>a</w:t>
      </w:r>
      <w:r w:rsidR="001F425B">
        <w:t xml:space="preserve">ry </w:t>
      </w:r>
      <w:r w:rsidR="00AF0DAC">
        <w:t>based on</w:t>
      </w:r>
      <w:r w:rsidR="001F425B">
        <w:t xml:space="preserve"> operational setting and forebay elevations (</w:t>
      </w:r>
      <w:r w:rsidR="00B000C9">
        <w:t xml:space="preserve">See </w:t>
      </w:r>
      <w:r w:rsidR="001F425B">
        <w:t xml:space="preserve">Table </w:t>
      </w:r>
      <w:r w:rsidR="00B000C9">
        <w:t>3</w:t>
      </w:r>
      <w:r w:rsidR="001F425B">
        <w:t xml:space="preserve">). </w:t>
      </w:r>
      <w:r w:rsidR="00D975BE">
        <w:t>Between June 10</w:t>
      </w:r>
      <w:r w:rsidR="00D975BE" w:rsidRPr="00D975BE">
        <w:rPr>
          <w:vertAlign w:val="superscript"/>
        </w:rPr>
        <w:t>th</w:t>
      </w:r>
      <w:r w:rsidR="00D975BE">
        <w:t xml:space="preserve"> and September 9</w:t>
      </w:r>
      <w:r w:rsidR="00D975BE" w:rsidRPr="00D975BE">
        <w:rPr>
          <w:vertAlign w:val="superscript"/>
        </w:rPr>
        <w:t>th</w:t>
      </w:r>
      <w:r w:rsidR="00D975BE">
        <w:t>, 2019, water temperatures at the diffuser were on average ~0.5</w:t>
      </w:r>
      <w:r w:rsidR="00D975BE">
        <w:rPr>
          <w:rFonts w:cstheme="minorHAnsi"/>
        </w:rPr>
        <w:t>°</w:t>
      </w:r>
      <w:r w:rsidR="00D975BE">
        <w:t xml:space="preserve">F cooler than surface water temperatures (measured at ~5’ of depth) (Lundell et al. 2019). </w:t>
      </w:r>
    </w:p>
    <w:p w14:paraId="1411622A" w14:textId="7D15DF40" w:rsidR="00D2387D" w:rsidRDefault="00D2387D" w:rsidP="00D2387D">
      <w:pPr>
        <w:jc w:val="center"/>
      </w:pPr>
      <w:r>
        <w:rPr>
          <w:noProof/>
        </w:rPr>
        <w:drawing>
          <wp:inline distT="0" distB="0" distL="0" distR="0" wp14:anchorId="1BD574D9" wp14:editId="66870598">
            <wp:extent cx="6765283" cy="1657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5649" cy="1681938"/>
                    </a:xfrm>
                    <a:prstGeom prst="rect">
                      <a:avLst/>
                    </a:prstGeom>
                    <a:noFill/>
                    <a:ln>
                      <a:noFill/>
                    </a:ln>
                  </pic:spPr>
                </pic:pic>
              </a:graphicData>
            </a:graphic>
          </wp:inline>
        </w:drawing>
      </w:r>
    </w:p>
    <w:p w14:paraId="538AF863" w14:textId="554F9495" w:rsidR="00D076B8" w:rsidRDefault="00D2387D" w:rsidP="00242D2C">
      <w:pPr>
        <w:jc w:val="center"/>
        <w:rPr>
          <w:sz w:val="20"/>
          <w:szCs w:val="20"/>
        </w:rPr>
      </w:pPr>
      <w:r w:rsidRPr="00511809">
        <w:rPr>
          <w:b/>
          <w:bCs/>
          <w:sz w:val="20"/>
          <w:szCs w:val="20"/>
        </w:rPr>
        <w:lastRenderedPageBreak/>
        <w:t xml:space="preserve">Figure </w:t>
      </w:r>
      <w:r w:rsidR="00511809" w:rsidRPr="00511809">
        <w:rPr>
          <w:b/>
          <w:bCs/>
          <w:sz w:val="20"/>
          <w:szCs w:val="20"/>
        </w:rPr>
        <w:t>6</w:t>
      </w:r>
      <w:r w:rsidRPr="00511809">
        <w:rPr>
          <w:b/>
          <w:bCs/>
          <w:sz w:val="20"/>
          <w:szCs w:val="20"/>
        </w:rPr>
        <w:t>:</w:t>
      </w:r>
      <w:r w:rsidRPr="00D2387D">
        <w:rPr>
          <w:sz w:val="20"/>
          <w:szCs w:val="20"/>
        </w:rPr>
        <w:t xml:space="preserve"> General layout of elevation sections including views of Diffuser #5 and </w:t>
      </w:r>
      <w:proofErr w:type="gramStart"/>
      <w:r w:rsidRPr="00D2387D">
        <w:rPr>
          <w:sz w:val="20"/>
          <w:szCs w:val="20"/>
        </w:rPr>
        <w:t>24</w:t>
      </w:r>
      <w:proofErr w:type="gramEnd"/>
      <w:r w:rsidRPr="00D2387D">
        <w:rPr>
          <w:sz w:val="20"/>
          <w:szCs w:val="20"/>
        </w:rPr>
        <w:t>” supply lines from forebay intake at 238’msl.</w:t>
      </w:r>
    </w:p>
    <w:p w14:paraId="71AC4E28" w14:textId="3DDE9118" w:rsidR="00AF0DAC" w:rsidRDefault="009D7BAE" w:rsidP="009D7BAE">
      <w:pPr>
        <w:jc w:val="center"/>
        <w:rPr>
          <w:sz w:val="20"/>
          <w:szCs w:val="20"/>
        </w:rPr>
      </w:pPr>
      <w:r w:rsidRPr="00447C30">
        <w:rPr>
          <w:noProof/>
        </w:rPr>
        <w:drawing>
          <wp:inline distT="0" distB="0" distL="0" distR="0" wp14:anchorId="751FC417" wp14:editId="5EB2AB0D">
            <wp:extent cx="4117930" cy="5438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301" cy="5451152"/>
                    </a:xfrm>
                    <a:prstGeom prst="rect">
                      <a:avLst/>
                    </a:prstGeom>
                    <a:noFill/>
                    <a:ln>
                      <a:noFill/>
                    </a:ln>
                  </pic:spPr>
                </pic:pic>
              </a:graphicData>
            </a:graphic>
          </wp:inline>
        </w:drawing>
      </w:r>
    </w:p>
    <w:p w14:paraId="378B7D40" w14:textId="52190CEF" w:rsidR="009D7BAE" w:rsidRPr="00242D2C" w:rsidRDefault="009D7BAE" w:rsidP="00242D2C">
      <w:pPr>
        <w:jc w:val="center"/>
        <w:rPr>
          <w:sz w:val="20"/>
          <w:szCs w:val="20"/>
        </w:rPr>
      </w:pPr>
      <w:r w:rsidRPr="00242D2C">
        <w:rPr>
          <w:sz w:val="20"/>
          <w:szCs w:val="20"/>
        </w:rPr>
        <w:t xml:space="preserve">Table </w:t>
      </w:r>
      <w:r w:rsidR="00B000C9">
        <w:rPr>
          <w:sz w:val="20"/>
          <w:szCs w:val="20"/>
        </w:rPr>
        <w:t>3</w:t>
      </w:r>
      <w:r w:rsidRPr="00242D2C">
        <w:rPr>
          <w:sz w:val="20"/>
          <w:szCs w:val="20"/>
        </w:rPr>
        <w:t>: Ladder flows based on forebay elevation and corresponding sill setting and diffuser flow</w:t>
      </w:r>
    </w:p>
    <w:p w14:paraId="1E711226" w14:textId="77777777" w:rsidR="009D7BAE" w:rsidRDefault="009D7BAE" w:rsidP="009D7BAE">
      <w:pPr>
        <w:rPr>
          <w:sz w:val="20"/>
          <w:szCs w:val="20"/>
        </w:rPr>
      </w:pPr>
    </w:p>
    <w:p w14:paraId="69DC2B0A" w14:textId="1790C897" w:rsidR="00AF0DAC" w:rsidRDefault="00AF0DAC" w:rsidP="00D076B8">
      <w:r w:rsidRPr="00AF0DAC">
        <w:t>Ladder flo</w:t>
      </w:r>
      <w:r>
        <w:t>w starts in the forebay as water passes through the exit into the upper control section of the ladder.  The control section is of a vertical slot weir configuration with a 1</w:t>
      </w:r>
      <w:r w:rsidR="00755A00">
        <w:t>:</w:t>
      </w:r>
      <w:r>
        <w:t>32 sl</w:t>
      </w:r>
      <w:r w:rsidR="000B4F0C">
        <w:t xml:space="preserve">ope. </w:t>
      </w:r>
      <w:r>
        <w:t xml:space="preserve"> </w:t>
      </w:r>
      <w:r w:rsidR="00CC2065">
        <w:t>A</w:t>
      </w:r>
      <w:r>
        <w:t xml:space="preserve">djustable actuated sill gates </w:t>
      </w:r>
      <w:r w:rsidR="00A518D0">
        <w:t>on weirs 256 – 267 modulate gravity flow</w:t>
      </w:r>
      <w:r w:rsidR="00CC2065">
        <w:t xml:space="preserve"> from the forebay based on water elevation (</w:t>
      </w:r>
      <w:r w:rsidR="00511809">
        <w:t>See Figure 7</w:t>
      </w:r>
      <w:r w:rsidR="00D064D6">
        <w:t>)</w:t>
      </w:r>
      <w:r w:rsidR="00CC2065">
        <w:t xml:space="preserve">. </w:t>
      </w:r>
    </w:p>
    <w:p w14:paraId="2B24EAC8" w14:textId="396E6B17" w:rsidR="00D064D6" w:rsidRDefault="00D064D6" w:rsidP="00D064D6">
      <w:pPr>
        <w:jc w:val="center"/>
      </w:pPr>
      <w:r>
        <w:rPr>
          <w:noProof/>
        </w:rPr>
        <w:lastRenderedPageBreak/>
        <w:drawing>
          <wp:inline distT="0" distB="0" distL="0" distR="0" wp14:anchorId="7018029B" wp14:editId="09C30887">
            <wp:extent cx="2790825" cy="2541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644" cy="2550202"/>
                    </a:xfrm>
                    <a:prstGeom prst="rect">
                      <a:avLst/>
                    </a:prstGeom>
                    <a:noFill/>
                    <a:ln>
                      <a:noFill/>
                    </a:ln>
                  </pic:spPr>
                </pic:pic>
              </a:graphicData>
            </a:graphic>
          </wp:inline>
        </w:drawing>
      </w:r>
    </w:p>
    <w:p w14:paraId="5C0F1B9C" w14:textId="2FDBBE99" w:rsidR="002A7AA1" w:rsidRPr="002A7AA1" w:rsidRDefault="002A7AA1" w:rsidP="00242D2C">
      <w:pPr>
        <w:jc w:val="center"/>
        <w:rPr>
          <w:sz w:val="20"/>
          <w:szCs w:val="20"/>
        </w:rPr>
      </w:pPr>
      <w:r w:rsidRPr="002A7AA1">
        <w:rPr>
          <w:sz w:val="20"/>
          <w:szCs w:val="20"/>
        </w:rPr>
        <w:t xml:space="preserve">Figure </w:t>
      </w:r>
      <w:r w:rsidR="00511809">
        <w:rPr>
          <w:sz w:val="20"/>
          <w:szCs w:val="20"/>
        </w:rPr>
        <w:t>7</w:t>
      </w:r>
      <w:r w:rsidRPr="002A7AA1">
        <w:rPr>
          <w:sz w:val="20"/>
          <w:szCs w:val="20"/>
        </w:rPr>
        <w:t>:  Vertical slot weir with actuated sill gates and orifice in the SFL exit control section</w:t>
      </w:r>
      <w:r>
        <w:rPr>
          <w:sz w:val="20"/>
          <w:szCs w:val="20"/>
        </w:rPr>
        <w:t>.</w:t>
      </w:r>
    </w:p>
    <w:p w14:paraId="2F0EF2DE" w14:textId="4CB30B35" w:rsidR="00D064D6" w:rsidRDefault="00D064D6" w:rsidP="00D076B8"/>
    <w:p w14:paraId="0BC1D170" w14:textId="718A7BED" w:rsidR="00A44932" w:rsidRDefault="002A0512" w:rsidP="00D076B8">
      <w:r>
        <w:t xml:space="preserve">Operational changes are made to ladder flows during the annual American Shad (shad) run </w:t>
      </w:r>
      <w:r w:rsidR="00A75395">
        <w:t>at JDA</w:t>
      </w:r>
      <w:r>
        <w:t>.  Shad have difficulty ascending the ladders th</w:t>
      </w:r>
      <w:r w:rsidR="009B375F">
        <w:t>r</w:t>
      </w:r>
      <w:r>
        <w:t>ough submerged orifices.  Once shad</w:t>
      </w:r>
      <w:r w:rsidR="006F0925">
        <w:t xml:space="preserve"> passage at Bonneville Dam exceed</w:t>
      </w:r>
      <w:r w:rsidR="006D747F">
        <w:t>s</w:t>
      </w:r>
      <w:r w:rsidR="006F0925">
        <w:t xml:space="preserve"> 5</w:t>
      </w:r>
      <w:r w:rsidR="001408E3">
        <w:t>,</w:t>
      </w:r>
      <w:r w:rsidR="006F0925">
        <w:t>000 per day,</w:t>
      </w:r>
      <w:r w:rsidR="006D747F">
        <w:t xml:space="preserve"> </w:t>
      </w:r>
      <w:r w:rsidR="006F0925">
        <w:t xml:space="preserve">fish ladders at JDA increase the ladder flow through diffuser #5 at the SFL to 1.3’ over the overflow weirs to aid shad in their passage.  </w:t>
      </w:r>
      <w:r w:rsidR="006D747F">
        <w:t xml:space="preserve">Added flows through diffuser #5 can increase by as much </w:t>
      </w:r>
      <w:r w:rsidR="00A16EEA">
        <w:t xml:space="preserve">as </w:t>
      </w:r>
      <w:r w:rsidR="006D747F">
        <w:t xml:space="preserve">223% based on the normal operating pool while in </w:t>
      </w:r>
      <w:r w:rsidR="001953D2">
        <w:t xml:space="preserve">the operation for shad passage </w:t>
      </w:r>
      <w:r w:rsidR="006D747F">
        <w:t>(</w:t>
      </w:r>
      <w:r w:rsidR="00B000C9">
        <w:t>See T</w:t>
      </w:r>
      <w:r w:rsidR="006D747F">
        <w:t>able</w:t>
      </w:r>
      <w:r w:rsidR="00B000C9">
        <w:t>4</w:t>
      </w:r>
      <w:r w:rsidR="006D747F">
        <w:t>).</w:t>
      </w:r>
      <w:r w:rsidR="00A16EEA">
        <w:t xml:space="preserve">  </w:t>
      </w:r>
      <w:r w:rsidR="00E84F16">
        <w:t>The 10year average of shad operation at JDA is 54 days and ranged from 22 May to 4 August</w:t>
      </w:r>
      <w:r w:rsidR="009B375F">
        <w:t xml:space="preserve"> </w:t>
      </w:r>
      <w:r w:rsidR="00E84F16">
        <w:t>(</w:t>
      </w:r>
      <w:r w:rsidR="00B000C9">
        <w:t>See T</w:t>
      </w:r>
      <w:r w:rsidR="00E84F16">
        <w:t>able</w:t>
      </w:r>
      <w:r w:rsidR="00B000C9">
        <w:t>4</w:t>
      </w:r>
      <w:r w:rsidR="00E84F16">
        <w:t>).</w:t>
      </w:r>
    </w:p>
    <w:p w14:paraId="54479206" w14:textId="58B9D329" w:rsidR="001953D2" w:rsidRDefault="001953D2" w:rsidP="00D076B8"/>
    <w:p w14:paraId="6BE6A3B5" w14:textId="0227BBD9" w:rsidR="001953D2" w:rsidRDefault="001953D2" w:rsidP="001953D2">
      <w:pPr>
        <w:jc w:val="center"/>
      </w:pPr>
      <w:r w:rsidRPr="001953D2">
        <w:rPr>
          <w:noProof/>
        </w:rPr>
        <w:drawing>
          <wp:inline distT="0" distB="0" distL="0" distR="0" wp14:anchorId="5C1C1BC4" wp14:editId="55A2AFA7">
            <wp:extent cx="2447925" cy="2305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2305050"/>
                    </a:xfrm>
                    <a:prstGeom prst="rect">
                      <a:avLst/>
                    </a:prstGeom>
                    <a:noFill/>
                    <a:ln>
                      <a:noFill/>
                    </a:ln>
                  </pic:spPr>
                </pic:pic>
              </a:graphicData>
            </a:graphic>
          </wp:inline>
        </w:drawing>
      </w:r>
    </w:p>
    <w:p w14:paraId="495E279B" w14:textId="1D1D935B" w:rsidR="001953D2" w:rsidRPr="004F5C0C" w:rsidRDefault="001953D2" w:rsidP="00242D2C">
      <w:pPr>
        <w:jc w:val="center"/>
        <w:rPr>
          <w:sz w:val="20"/>
          <w:szCs w:val="20"/>
        </w:rPr>
      </w:pPr>
      <w:r w:rsidRPr="004F5C0C">
        <w:rPr>
          <w:sz w:val="20"/>
          <w:szCs w:val="20"/>
        </w:rPr>
        <w:t xml:space="preserve">Table </w:t>
      </w:r>
      <w:r w:rsidR="00B000C9">
        <w:rPr>
          <w:sz w:val="20"/>
          <w:szCs w:val="20"/>
        </w:rPr>
        <w:t>4</w:t>
      </w:r>
      <w:r w:rsidRPr="004F5C0C">
        <w:rPr>
          <w:sz w:val="20"/>
          <w:szCs w:val="20"/>
        </w:rPr>
        <w:t xml:space="preserve">: Operating range of fish ladders at JDA for American Shad at 1.3’ </w:t>
      </w:r>
      <w:r w:rsidR="004F5C0C" w:rsidRPr="004F5C0C">
        <w:rPr>
          <w:sz w:val="20"/>
          <w:szCs w:val="20"/>
        </w:rPr>
        <w:t>over weirs.</w:t>
      </w:r>
    </w:p>
    <w:p w14:paraId="746B0135" w14:textId="77777777" w:rsidR="00A01FA4" w:rsidRDefault="00A01FA4" w:rsidP="00C824A6">
      <w:pPr>
        <w:rPr>
          <w:b/>
          <w:bCs/>
        </w:rPr>
      </w:pPr>
    </w:p>
    <w:p w14:paraId="3163B128" w14:textId="77777777" w:rsidR="00A01FA4" w:rsidRDefault="00A01FA4" w:rsidP="00C824A6">
      <w:pPr>
        <w:rPr>
          <w:b/>
          <w:bCs/>
        </w:rPr>
      </w:pPr>
    </w:p>
    <w:p w14:paraId="3869FC83" w14:textId="481A3B59" w:rsidR="00554DB9" w:rsidRDefault="00554DB9" w:rsidP="00C824A6">
      <w:pPr>
        <w:rPr>
          <w:b/>
          <w:bCs/>
        </w:rPr>
      </w:pPr>
      <w:r>
        <w:rPr>
          <w:b/>
          <w:bCs/>
        </w:rPr>
        <w:lastRenderedPageBreak/>
        <w:t>Conclusion:</w:t>
      </w:r>
    </w:p>
    <w:p w14:paraId="16027036" w14:textId="18E87D0D" w:rsidR="00623AAE" w:rsidRDefault="00FD58CC" w:rsidP="00C824A6">
      <w:r>
        <w:t xml:space="preserve">Between June and </w:t>
      </w:r>
      <w:r w:rsidR="00623AAE">
        <w:t>September,</w:t>
      </w:r>
      <w:r>
        <w:t xml:space="preserve"> the JDA SFL </w:t>
      </w:r>
      <w:r w:rsidR="00623AAE">
        <w:t xml:space="preserve">experiences frequent </w:t>
      </w:r>
      <w:r>
        <w:t>warm water periods (</w:t>
      </w:r>
      <w:r>
        <w:rPr>
          <w:rFonts w:cstheme="minorHAnsi"/>
        </w:rPr>
        <w:t>≥</w:t>
      </w:r>
      <w:r>
        <w:t>70</w:t>
      </w:r>
      <w:r>
        <w:rPr>
          <w:rFonts w:cstheme="minorHAnsi"/>
        </w:rPr>
        <w:t>°</w:t>
      </w:r>
      <w:r>
        <w:t>F at the SFL exit)</w:t>
      </w:r>
      <w:r w:rsidR="00623AAE">
        <w:t xml:space="preserve">. During this time </w:t>
      </w:r>
      <w:r>
        <w:t>the SFL exit is typically warmer than the entrance</w:t>
      </w:r>
      <w:r w:rsidR="00623AAE">
        <w:t xml:space="preserve"> and differentials </w:t>
      </w:r>
      <w:r w:rsidR="00187B13">
        <w:t>&gt;6.5</w:t>
      </w:r>
      <w:r w:rsidR="00187B13">
        <w:rPr>
          <w:rFonts w:cstheme="minorHAnsi"/>
        </w:rPr>
        <w:t>°</w:t>
      </w:r>
      <w:r w:rsidR="00187B13">
        <w:t xml:space="preserve">F have been observed. </w:t>
      </w:r>
    </w:p>
    <w:p w14:paraId="698F5D9B" w14:textId="21356821" w:rsidR="00FD58CC" w:rsidRDefault="00FD58CC" w:rsidP="00C824A6">
      <w:r>
        <w:t xml:space="preserve">Adult salmonids migrating above JDA typically experience different ladder operations between June and July than those migrating </w:t>
      </w:r>
      <w:r w:rsidR="00623AAE">
        <w:t>between</w:t>
      </w:r>
      <w:r>
        <w:t xml:space="preserve"> August and September. Within warm water periods, l</w:t>
      </w:r>
      <w:r w:rsidR="004A3F63" w:rsidRPr="00A01FA4">
        <w:t xml:space="preserve">adder temperature differentials </w:t>
      </w:r>
      <w:r>
        <w:rPr>
          <w:rFonts w:cstheme="minorHAnsi"/>
        </w:rPr>
        <w:t>≥</w:t>
      </w:r>
      <w:r w:rsidR="00A01FA4" w:rsidRPr="00A01FA4">
        <w:t>1.8</w:t>
      </w:r>
      <w:r w:rsidR="00A01FA4" w:rsidRPr="00A01FA4">
        <w:rPr>
          <w:rFonts w:cstheme="minorHAnsi"/>
        </w:rPr>
        <w:t>°</w:t>
      </w:r>
      <w:r w:rsidR="00A01FA4" w:rsidRPr="00A01FA4">
        <w:t>F (1</w:t>
      </w:r>
      <w:r w:rsidR="00A01FA4" w:rsidRPr="00A01FA4">
        <w:rPr>
          <w:rFonts w:cstheme="minorHAnsi"/>
        </w:rPr>
        <w:t>°</w:t>
      </w:r>
      <w:r w:rsidR="00A01FA4" w:rsidRPr="00A01FA4">
        <w:t>C)</w:t>
      </w:r>
      <w:r>
        <w:t xml:space="preserve"> </w:t>
      </w:r>
      <w:r w:rsidR="00A01FA4">
        <w:t xml:space="preserve">are </w:t>
      </w:r>
      <w:r>
        <w:t xml:space="preserve">typically </w:t>
      </w:r>
      <w:r w:rsidR="00A01FA4">
        <w:t xml:space="preserve">observed more frequently </w:t>
      </w:r>
      <w:r>
        <w:t>between</w:t>
      </w:r>
      <w:r w:rsidR="00A01FA4">
        <w:t xml:space="preserve"> August and September </w:t>
      </w:r>
      <w:r>
        <w:t>(</w:t>
      </w:r>
      <w:r w:rsidR="00A01FA4">
        <w:t>exception</w:t>
      </w:r>
      <w:r>
        <w:t>s</w:t>
      </w:r>
      <w:r w:rsidR="00A01FA4">
        <w:t xml:space="preserve"> </w:t>
      </w:r>
      <w:r>
        <w:t>being</w:t>
      </w:r>
      <w:r w:rsidR="00A01FA4">
        <w:t xml:space="preserve"> 2015 and 2021</w:t>
      </w:r>
      <w:r>
        <w:t>)</w:t>
      </w:r>
      <w:r w:rsidR="00A01FA4">
        <w:t xml:space="preserve">. </w:t>
      </w:r>
      <w:r w:rsidR="00623AAE">
        <w:t>The exact impact</w:t>
      </w:r>
      <w:r w:rsidR="00187B13">
        <w:t>s</w:t>
      </w:r>
      <w:r w:rsidR="00623AAE">
        <w:t xml:space="preserve"> this has on </w:t>
      </w:r>
      <w:r w:rsidR="00187B13">
        <w:t xml:space="preserve">SFL </w:t>
      </w:r>
      <w:r w:rsidR="00623AAE">
        <w:t xml:space="preserve">salmonid passage </w:t>
      </w:r>
      <w:r w:rsidR="00187B13">
        <w:t>are</w:t>
      </w:r>
      <w:r w:rsidR="00623AAE">
        <w:t xml:space="preserve"> unknown. </w:t>
      </w:r>
    </w:p>
    <w:p w14:paraId="10B47E86" w14:textId="77777777" w:rsidR="00A01FA4" w:rsidRDefault="00A01FA4" w:rsidP="006A2D3E">
      <w:pPr>
        <w:rPr>
          <w:b/>
          <w:bCs/>
        </w:rPr>
      </w:pPr>
    </w:p>
    <w:p w14:paraId="6FF54C92" w14:textId="1433579B" w:rsidR="006A2D3E" w:rsidRDefault="006A2D3E" w:rsidP="006A2D3E">
      <w:pPr>
        <w:rPr>
          <w:b/>
          <w:bCs/>
        </w:rPr>
      </w:pPr>
      <w:r>
        <w:rPr>
          <w:b/>
          <w:bCs/>
        </w:rPr>
        <w:t>Recommendations:</w:t>
      </w:r>
    </w:p>
    <w:p w14:paraId="7AEDA500" w14:textId="61810480" w:rsidR="006A2D3E" w:rsidRDefault="006A2D3E" w:rsidP="006A2D3E">
      <w:r>
        <w:t xml:space="preserve">More information is needed to better understand ladder temperatures between the ladder exit and entrance locations.  </w:t>
      </w:r>
      <w:r w:rsidRPr="009C75E3">
        <w:t>JD</w:t>
      </w:r>
      <w:r w:rsidR="00663C7C" w:rsidRPr="009C75E3">
        <w:t>A</w:t>
      </w:r>
      <w:r>
        <w:t xml:space="preserve"> project has installed additional temperature probes (</w:t>
      </w:r>
      <w:r w:rsidR="00B000C9">
        <w:t>See Figure 8</w:t>
      </w:r>
      <w:r>
        <w:t>) at weir 267 downstream of the fish ladder exit, above and below diffuser #5, at the 180</w:t>
      </w:r>
      <w:r w:rsidR="004B40BF">
        <w:rPr>
          <w:rFonts w:cstheme="minorHAnsi"/>
        </w:rPr>
        <w:t>°</w:t>
      </w:r>
      <w:r>
        <w:t xml:space="preserve"> turn in the overflow weir section, count station, and </w:t>
      </w:r>
      <w:r w:rsidR="005F2E75">
        <w:t xml:space="preserve">an </w:t>
      </w:r>
      <w:r>
        <w:t xml:space="preserve">additional probe at the entrance area.  These probes are in addition to the probes used to report ladder temperatures in the JDA weekly status reports and reported to Fish Passage Center.  </w:t>
      </w:r>
      <w:r w:rsidR="005F2E75">
        <w:t>Forebay string temperatures are not taken at JDA.  Project biologists are deploying a string array in the forebay to gather more temperature data of the vertical profile</w:t>
      </w:r>
      <w:r w:rsidR="0099193A">
        <w:t xml:space="preserve"> </w:t>
      </w:r>
      <w:r w:rsidR="005F2E75">
        <w:t>(</w:t>
      </w:r>
      <w:r w:rsidR="00B000C9">
        <w:t>See figure 9</w:t>
      </w:r>
      <w:r w:rsidR="005F2E75">
        <w:t>).  There is little information on ladder temperatures in the overflow section of the SFL</w:t>
      </w:r>
      <w:r w:rsidR="0099193A">
        <w:t xml:space="preserve"> or how different ladder operations could affect temperature gradients. </w:t>
      </w:r>
    </w:p>
    <w:p w14:paraId="6721A379" w14:textId="2D968A0D" w:rsidR="0099193A" w:rsidRPr="006A2D3E" w:rsidRDefault="0099193A" w:rsidP="006A2D3E">
      <w:r w:rsidRPr="009C75E3">
        <w:t>JD</w:t>
      </w:r>
      <w:r w:rsidR="00663C7C" w:rsidRPr="009C75E3">
        <w:t>A</w:t>
      </w:r>
      <w:r>
        <w:t xml:space="preserve"> Proposes a block design study to determine if ladder temperatures in the overflow section can be cooled by switching operations for shad in a </w:t>
      </w:r>
      <w:r w:rsidR="00243169">
        <w:t>2-day</w:t>
      </w:r>
      <w:r>
        <w:t xml:space="preserve"> cycle over a </w:t>
      </w:r>
      <w:r w:rsidR="00243169">
        <w:t>two-week</w:t>
      </w:r>
      <w:r>
        <w:t xml:space="preserve"> period in the beginning of August. </w:t>
      </w:r>
      <w:r w:rsidR="00243169">
        <w:t xml:space="preserve">The shad operation, on average, is completed by 21 July and the ladder returned to its normal operation of </w:t>
      </w:r>
      <w:proofErr w:type="gramStart"/>
      <w:r w:rsidR="00243169">
        <w:t>1</w:t>
      </w:r>
      <w:proofErr w:type="gramEnd"/>
      <w:r w:rsidR="00243169">
        <w:t>’ or water over the overflow weir section.  Additional water from the diffuser intake at 238’ msl</w:t>
      </w:r>
      <w:r w:rsidR="003F0C68">
        <w:t xml:space="preserve"> </w:t>
      </w:r>
      <w:r w:rsidR="00243169">
        <w:t xml:space="preserve">may help reduce ladder temperatures in the overflow section of the ladder. Such an operation would need to be reviewed and approved in the appropriate regional forum. </w:t>
      </w:r>
    </w:p>
    <w:p w14:paraId="25BA8216" w14:textId="1C2EF7B3" w:rsidR="00447C30" w:rsidRDefault="00447C30" w:rsidP="00FA00D2">
      <w:pPr>
        <w:jc w:val="center"/>
      </w:pPr>
      <w:r>
        <w:rPr>
          <w:noProof/>
        </w:rPr>
        <w:drawing>
          <wp:inline distT="0" distB="0" distL="0" distR="0" wp14:anchorId="13DD0EA4" wp14:editId="02C0093C">
            <wp:extent cx="593407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14:paraId="50E14AA5" w14:textId="2979C468" w:rsidR="00447C30" w:rsidRPr="00B000C9" w:rsidRDefault="00E366C1" w:rsidP="00FA00D2">
      <w:pPr>
        <w:jc w:val="center"/>
        <w:rPr>
          <w:sz w:val="20"/>
          <w:szCs w:val="20"/>
        </w:rPr>
      </w:pPr>
      <w:r w:rsidRPr="00B000C9">
        <w:rPr>
          <w:b/>
          <w:bCs/>
          <w:sz w:val="20"/>
          <w:szCs w:val="20"/>
        </w:rPr>
        <w:t xml:space="preserve">Figure </w:t>
      </w:r>
      <w:r w:rsidR="00B000C9" w:rsidRPr="00B000C9">
        <w:rPr>
          <w:b/>
          <w:bCs/>
          <w:sz w:val="20"/>
          <w:szCs w:val="20"/>
        </w:rPr>
        <w:t>8</w:t>
      </w:r>
      <w:r w:rsidRPr="00B000C9">
        <w:rPr>
          <w:b/>
          <w:bCs/>
          <w:sz w:val="20"/>
          <w:szCs w:val="20"/>
        </w:rPr>
        <w:t>:</w:t>
      </w:r>
      <w:r w:rsidRPr="00B000C9">
        <w:rPr>
          <w:sz w:val="20"/>
          <w:szCs w:val="20"/>
        </w:rPr>
        <w:t xml:space="preserve"> Map of the JDA SFL and the location of temperature probes within the ladder. </w:t>
      </w:r>
    </w:p>
    <w:p w14:paraId="2F8FBF0B" w14:textId="38A0C82A" w:rsidR="006A2D3E" w:rsidRDefault="006A2D3E" w:rsidP="00FA00D2">
      <w:pPr>
        <w:jc w:val="center"/>
      </w:pPr>
    </w:p>
    <w:p w14:paraId="0B2BC276" w14:textId="58898088" w:rsidR="006A2D3E" w:rsidRDefault="00242D2C" w:rsidP="00FA00D2">
      <w:pPr>
        <w:jc w:val="center"/>
        <w:rPr>
          <w:b/>
          <w:bCs/>
        </w:rPr>
      </w:pPr>
      <w:r>
        <w:rPr>
          <w:noProof/>
        </w:rPr>
        <w:lastRenderedPageBreak/>
        <w:drawing>
          <wp:inline distT="0" distB="0" distL="0" distR="0" wp14:anchorId="3E8E98F6" wp14:editId="45964472">
            <wp:extent cx="4238625" cy="3242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8625" cy="3242820"/>
                    </a:xfrm>
                    <a:prstGeom prst="rect">
                      <a:avLst/>
                    </a:prstGeom>
                    <a:noFill/>
                    <a:ln>
                      <a:noFill/>
                    </a:ln>
                  </pic:spPr>
                </pic:pic>
              </a:graphicData>
            </a:graphic>
          </wp:inline>
        </w:drawing>
      </w:r>
    </w:p>
    <w:p w14:paraId="24AD88F2" w14:textId="15645346" w:rsidR="00CB5494" w:rsidRDefault="00913720" w:rsidP="002B4889">
      <w:pPr>
        <w:jc w:val="center"/>
        <w:rPr>
          <w:sz w:val="20"/>
          <w:szCs w:val="20"/>
        </w:rPr>
      </w:pPr>
      <w:r>
        <w:rPr>
          <w:sz w:val="20"/>
          <w:szCs w:val="20"/>
        </w:rPr>
        <w:t xml:space="preserve">Figure </w:t>
      </w:r>
      <w:r w:rsidR="00B000C9">
        <w:rPr>
          <w:sz w:val="20"/>
          <w:szCs w:val="20"/>
        </w:rPr>
        <w:t>9</w:t>
      </w:r>
      <w:r>
        <w:rPr>
          <w:sz w:val="20"/>
          <w:szCs w:val="20"/>
        </w:rPr>
        <w:t>: JDA-SS-2 location of array monitoring site</w:t>
      </w:r>
      <w:r w:rsidR="002B4889">
        <w:rPr>
          <w:sz w:val="20"/>
          <w:szCs w:val="20"/>
        </w:rPr>
        <w:t>.</w:t>
      </w:r>
    </w:p>
    <w:p w14:paraId="44DB6265" w14:textId="2F5A9ED9" w:rsidR="00D33104" w:rsidRDefault="00D33104" w:rsidP="002B4889">
      <w:pPr>
        <w:jc w:val="center"/>
        <w:rPr>
          <w:sz w:val="20"/>
          <w:szCs w:val="20"/>
        </w:rPr>
      </w:pPr>
    </w:p>
    <w:p w14:paraId="5ACFBBAD" w14:textId="77777777" w:rsidR="00AF4BE6" w:rsidRPr="00313AF9" w:rsidRDefault="00AF4BE6" w:rsidP="00AF4BE6">
      <w:pPr>
        <w:rPr>
          <w:b/>
          <w:bCs/>
        </w:rPr>
      </w:pPr>
      <w:r w:rsidRPr="00313AF9">
        <w:rPr>
          <w:b/>
          <w:bCs/>
        </w:rPr>
        <w:t>References:</w:t>
      </w:r>
    </w:p>
    <w:p w14:paraId="08BF10A4" w14:textId="44FE450C" w:rsidR="003C0AE9" w:rsidRDefault="00AF4BE6" w:rsidP="003F0C68">
      <w:pPr>
        <w:spacing w:line="240" w:lineRule="auto"/>
      </w:pPr>
      <w:r w:rsidRPr="007542FB">
        <w:t xml:space="preserve">Caudill, C. C., T. S. </w:t>
      </w:r>
      <w:proofErr w:type="spellStart"/>
      <w:r w:rsidRPr="007542FB">
        <w:t>Clabough</w:t>
      </w:r>
      <w:proofErr w:type="spellEnd"/>
      <w:r w:rsidRPr="007542FB">
        <w:t>, G. P. Naughton, C. A. Peery, and B. J. Burke. 2006. Water temperatures in adult fishways at mainstem dams of the Snake and Columbia rivers</w:t>
      </w:r>
      <w:r>
        <w:t xml:space="preserve"> </w:t>
      </w:r>
      <w:r w:rsidRPr="007542FB">
        <w:t>biological effects. Technical Report 2006-3. U.S. Army Corps of Engineers, Walla Walla</w:t>
      </w:r>
      <w:r>
        <w:t xml:space="preserve"> </w:t>
      </w:r>
      <w:r w:rsidRPr="007542FB">
        <w:t>District, Walla Walla, WA.</w:t>
      </w:r>
    </w:p>
    <w:p w14:paraId="69ABBC4B" w14:textId="6A37061E" w:rsidR="003F0C68" w:rsidRDefault="003F0C68" w:rsidP="003F0C68">
      <w:pPr>
        <w:spacing w:line="240" w:lineRule="auto"/>
      </w:pPr>
    </w:p>
    <w:p w14:paraId="5BF29353" w14:textId="2DBA247B" w:rsidR="003F0C68" w:rsidRDefault="003F0C68" w:rsidP="003F0C68">
      <w:pPr>
        <w:spacing w:line="240" w:lineRule="auto"/>
      </w:pPr>
      <w:r>
        <w:t xml:space="preserve">Fielding, F., E. Grosvenor, M. Lotspeich, L. Ricketts. 2021. 2021 Annual fishways status report. U.S. Army Corps of Engineers, Portland District. </w:t>
      </w:r>
    </w:p>
    <w:p w14:paraId="275E5D89" w14:textId="0F112F42" w:rsidR="003F0C68" w:rsidRDefault="003F0C68" w:rsidP="003F0C68">
      <w:pPr>
        <w:spacing w:line="240" w:lineRule="auto"/>
      </w:pPr>
    </w:p>
    <w:p w14:paraId="293E8E14" w14:textId="77777777" w:rsidR="00DE6376" w:rsidRDefault="00DE6376" w:rsidP="00DE6376">
      <w:r>
        <w:t xml:space="preserve">Hydraulic evaluation of lower Columbia River adult bypass systems (HELCRABS). John Day south fish ladder hydraulic/operational evaluation. 2015. U.S. Army Corps of Engineers, Portland District. </w:t>
      </w:r>
    </w:p>
    <w:p w14:paraId="5D0C654E" w14:textId="77777777" w:rsidR="00DE6376" w:rsidRDefault="00DE6376" w:rsidP="003F0C68">
      <w:pPr>
        <w:spacing w:line="240" w:lineRule="auto"/>
      </w:pPr>
    </w:p>
    <w:p w14:paraId="10ABDBD0" w14:textId="2BF8E2E7" w:rsidR="004B40BF" w:rsidRDefault="003C0AE9" w:rsidP="003C0AE9">
      <w:r>
        <w:t xml:space="preserve">Lundell et al. 2019. </w:t>
      </w:r>
      <w:r w:rsidRPr="003C0AE9">
        <w:t xml:space="preserve">Lower Columbia River </w:t>
      </w:r>
      <w:r w:rsidR="003F0C68">
        <w:t>d</w:t>
      </w:r>
      <w:r w:rsidRPr="003C0AE9">
        <w:t xml:space="preserve">am </w:t>
      </w:r>
      <w:r w:rsidR="003F0C68">
        <w:t>f</w:t>
      </w:r>
      <w:r w:rsidRPr="003C0AE9">
        <w:t xml:space="preserve">orebays </w:t>
      </w:r>
      <w:r w:rsidR="003F0C68">
        <w:t>t</w:t>
      </w:r>
      <w:r w:rsidRPr="003C0AE9">
        <w:t xml:space="preserve">emperature </w:t>
      </w:r>
      <w:r w:rsidR="003F0C68">
        <w:t>d</w:t>
      </w:r>
      <w:r w:rsidRPr="003C0AE9">
        <w:t xml:space="preserve">epth </w:t>
      </w:r>
      <w:r w:rsidR="003F0C68">
        <w:t>p</w:t>
      </w:r>
      <w:r w:rsidRPr="003C0AE9">
        <w:t xml:space="preserve">rofile </w:t>
      </w:r>
      <w:r w:rsidR="003F0C68">
        <w:t>s</w:t>
      </w:r>
      <w:r w:rsidRPr="003C0AE9">
        <w:t>tudy for 2019</w:t>
      </w:r>
      <w:r>
        <w:t>.  U.S. Army Corps of Engineers, Portland District</w:t>
      </w:r>
      <w:r w:rsidR="003F0C68">
        <w:t>.</w:t>
      </w:r>
    </w:p>
    <w:p w14:paraId="644B292F" w14:textId="3277D11C" w:rsidR="003C0AE9" w:rsidRDefault="003C0AE9" w:rsidP="003C0AE9"/>
    <w:p w14:paraId="399DDB44" w14:textId="77777777" w:rsidR="003C0AE9" w:rsidRPr="003C0AE9" w:rsidRDefault="003C0AE9" w:rsidP="003C0AE9"/>
    <w:p w14:paraId="428CC2B9" w14:textId="2D170F85" w:rsidR="00D33104" w:rsidRDefault="00D33104" w:rsidP="00AF4BE6">
      <w:pPr>
        <w:rPr>
          <w:sz w:val="20"/>
          <w:szCs w:val="20"/>
        </w:rPr>
      </w:pPr>
    </w:p>
    <w:p w14:paraId="68BB32C3" w14:textId="77777777" w:rsidR="00D33104" w:rsidRPr="002B4889" w:rsidRDefault="00D33104" w:rsidP="002B4889">
      <w:pPr>
        <w:jc w:val="center"/>
        <w:rPr>
          <w:sz w:val="20"/>
          <w:szCs w:val="20"/>
        </w:rPr>
      </w:pPr>
    </w:p>
    <w:sectPr w:rsidR="00D33104" w:rsidRPr="002B48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BB17E" w14:textId="77777777" w:rsidR="007C3D0A" w:rsidRDefault="007C3D0A" w:rsidP="00447C30">
      <w:pPr>
        <w:spacing w:after="0" w:line="240" w:lineRule="auto"/>
      </w:pPr>
      <w:r>
        <w:separator/>
      </w:r>
    </w:p>
  </w:endnote>
  <w:endnote w:type="continuationSeparator" w:id="0">
    <w:p w14:paraId="433C6C1B" w14:textId="77777777" w:rsidR="007C3D0A" w:rsidRDefault="007C3D0A" w:rsidP="00447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FADDF" w14:textId="77777777" w:rsidR="007C3D0A" w:rsidRDefault="007C3D0A" w:rsidP="00447C30">
      <w:pPr>
        <w:spacing w:after="0" w:line="240" w:lineRule="auto"/>
      </w:pPr>
      <w:r>
        <w:separator/>
      </w:r>
    </w:p>
  </w:footnote>
  <w:footnote w:type="continuationSeparator" w:id="0">
    <w:p w14:paraId="49ED7501" w14:textId="77777777" w:rsidR="007C3D0A" w:rsidRDefault="007C3D0A" w:rsidP="00447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FCB"/>
    <w:rsid w:val="00002371"/>
    <w:rsid w:val="00005291"/>
    <w:rsid w:val="00005450"/>
    <w:rsid w:val="00005ECC"/>
    <w:rsid w:val="000079AF"/>
    <w:rsid w:val="000101A7"/>
    <w:rsid w:val="00012EA2"/>
    <w:rsid w:val="00013F61"/>
    <w:rsid w:val="00015EBA"/>
    <w:rsid w:val="00025E7E"/>
    <w:rsid w:val="000417E5"/>
    <w:rsid w:val="0004757E"/>
    <w:rsid w:val="000477C2"/>
    <w:rsid w:val="00063AF5"/>
    <w:rsid w:val="00072459"/>
    <w:rsid w:val="00074767"/>
    <w:rsid w:val="0008348F"/>
    <w:rsid w:val="00085E81"/>
    <w:rsid w:val="000A51E6"/>
    <w:rsid w:val="000B1B81"/>
    <w:rsid w:val="000B4F0C"/>
    <w:rsid w:val="000B5173"/>
    <w:rsid w:val="000C128D"/>
    <w:rsid w:val="000C4D98"/>
    <w:rsid w:val="000C508B"/>
    <w:rsid w:val="000D2D9B"/>
    <w:rsid w:val="000F0F53"/>
    <w:rsid w:val="001145B7"/>
    <w:rsid w:val="00135C0E"/>
    <w:rsid w:val="001408E3"/>
    <w:rsid w:val="00140FA0"/>
    <w:rsid w:val="00150C3A"/>
    <w:rsid w:val="00167DB4"/>
    <w:rsid w:val="00174A55"/>
    <w:rsid w:val="00175FB9"/>
    <w:rsid w:val="001806E9"/>
    <w:rsid w:val="00182781"/>
    <w:rsid w:val="00182C96"/>
    <w:rsid w:val="001836EA"/>
    <w:rsid w:val="0018469C"/>
    <w:rsid w:val="00186153"/>
    <w:rsid w:val="00187B13"/>
    <w:rsid w:val="00192551"/>
    <w:rsid w:val="00194EDC"/>
    <w:rsid w:val="001953D2"/>
    <w:rsid w:val="00196ECE"/>
    <w:rsid w:val="00197828"/>
    <w:rsid w:val="001A55D4"/>
    <w:rsid w:val="001B7191"/>
    <w:rsid w:val="001C0618"/>
    <w:rsid w:val="001C70B3"/>
    <w:rsid w:val="001D0801"/>
    <w:rsid w:val="001D20B9"/>
    <w:rsid w:val="001D5AD7"/>
    <w:rsid w:val="001D7230"/>
    <w:rsid w:val="001D7CF9"/>
    <w:rsid w:val="001E0C07"/>
    <w:rsid w:val="001E7D83"/>
    <w:rsid w:val="001F425B"/>
    <w:rsid w:val="001F7736"/>
    <w:rsid w:val="00207BBE"/>
    <w:rsid w:val="00207CDF"/>
    <w:rsid w:val="002313A6"/>
    <w:rsid w:val="00241345"/>
    <w:rsid w:val="00242D2C"/>
    <w:rsid w:val="00243169"/>
    <w:rsid w:val="002602E2"/>
    <w:rsid w:val="00270A81"/>
    <w:rsid w:val="00270F33"/>
    <w:rsid w:val="00274FB2"/>
    <w:rsid w:val="00280ED5"/>
    <w:rsid w:val="002810ED"/>
    <w:rsid w:val="00286094"/>
    <w:rsid w:val="002A0512"/>
    <w:rsid w:val="002A5C5A"/>
    <w:rsid w:val="002A7AA1"/>
    <w:rsid w:val="002B4889"/>
    <w:rsid w:val="002B641E"/>
    <w:rsid w:val="00310F5E"/>
    <w:rsid w:val="00313AF9"/>
    <w:rsid w:val="00333B93"/>
    <w:rsid w:val="00340F93"/>
    <w:rsid w:val="00342E0D"/>
    <w:rsid w:val="00343258"/>
    <w:rsid w:val="0035245B"/>
    <w:rsid w:val="003716B2"/>
    <w:rsid w:val="00383091"/>
    <w:rsid w:val="00392CFF"/>
    <w:rsid w:val="003961BB"/>
    <w:rsid w:val="003A21ED"/>
    <w:rsid w:val="003A266C"/>
    <w:rsid w:val="003B3D1E"/>
    <w:rsid w:val="003B3D78"/>
    <w:rsid w:val="003C0AE9"/>
    <w:rsid w:val="003C6868"/>
    <w:rsid w:val="003D2A44"/>
    <w:rsid w:val="003D4AEB"/>
    <w:rsid w:val="003E46CD"/>
    <w:rsid w:val="003F0C68"/>
    <w:rsid w:val="003F130C"/>
    <w:rsid w:val="00417EDD"/>
    <w:rsid w:val="004210A7"/>
    <w:rsid w:val="0042120D"/>
    <w:rsid w:val="00442FA0"/>
    <w:rsid w:val="00443970"/>
    <w:rsid w:val="004452A3"/>
    <w:rsid w:val="004455D3"/>
    <w:rsid w:val="004471E8"/>
    <w:rsid w:val="00447C30"/>
    <w:rsid w:val="00463DD3"/>
    <w:rsid w:val="00476A97"/>
    <w:rsid w:val="0048631A"/>
    <w:rsid w:val="0049198B"/>
    <w:rsid w:val="00493F91"/>
    <w:rsid w:val="004A338B"/>
    <w:rsid w:val="004A3F63"/>
    <w:rsid w:val="004B40BF"/>
    <w:rsid w:val="004C680B"/>
    <w:rsid w:val="004D57C7"/>
    <w:rsid w:val="004D6567"/>
    <w:rsid w:val="004D6A05"/>
    <w:rsid w:val="004E7D4C"/>
    <w:rsid w:val="004F0A4F"/>
    <w:rsid w:val="004F5C0C"/>
    <w:rsid w:val="004F6D1E"/>
    <w:rsid w:val="005061B8"/>
    <w:rsid w:val="00506C72"/>
    <w:rsid w:val="00506F38"/>
    <w:rsid w:val="00511809"/>
    <w:rsid w:val="00525594"/>
    <w:rsid w:val="0053172D"/>
    <w:rsid w:val="005455C5"/>
    <w:rsid w:val="00554DB9"/>
    <w:rsid w:val="00595125"/>
    <w:rsid w:val="005A36DB"/>
    <w:rsid w:val="005B00FD"/>
    <w:rsid w:val="005B7796"/>
    <w:rsid w:val="005C5D2B"/>
    <w:rsid w:val="005C7579"/>
    <w:rsid w:val="005D4999"/>
    <w:rsid w:val="005D7990"/>
    <w:rsid w:val="005F2E75"/>
    <w:rsid w:val="005F344F"/>
    <w:rsid w:val="0060054B"/>
    <w:rsid w:val="00603677"/>
    <w:rsid w:val="0061292F"/>
    <w:rsid w:val="00623AAE"/>
    <w:rsid w:val="006246C6"/>
    <w:rsid w:val="006401F3"/>
    <w:rsid w:val="006523C3"/>
    <w:rsid w:val="006534F9"/>
    <w:rsid w:val="00656B78"/>
    <w:rsid w:val="00662F9F"/>
    <w:rsid w:val="00663C7C"/>
    <w:rsid w:val="00665AF7"/>
    <w:rsid w:val="00673872"/>
    <w:rsid w:val="0068519D"/>
    <w:rsid w:val="00685EBF"/>
    <w:rsid w:val="006867FD"/>
    <w:rsid w:val="00692CBC"/>
    <w:rsid w:val="006A0FBC"/>
    <w:rsid w:val="006A1A7E"/>
    <w:rsid w:val="006A2D3E"/>
    <w:rsid w:val="006A51E5"/>
    <w:rsid w:val="006B2CF6"/>
    <w:rsid w:val="006B3AE7"/>
    <w:rsid w:val="006B4803"/>
    <w:rsid w:val="006C057C"/>
    <w:rsid w:val="006C09F3"/>
    <w:rsid w:val="006C1FC4"/>
    <w:rsid w:val="006C237A"/>
    <w:rsid w:val="006C4122"/>
    <w:rsid w:val="006C6849"/>
    <w:rsid w:val="006D0AAF"/>
    <w:rsid w:val="006D747F"/>
    <w:rsid w:val="006E1CC3"/>
    <w:rsid w:val="006F0925"/>
    <w:rsid w:val="00725DA9"/>
    <w:rsid w:val="00727F7C"/>
    <w:rsid w:val="00741935"/>
    <w:rsid w:val="00742A99"/>
    <w:rsid w:val="00750944"/>
    <w:rsid w:val="00751434"/>
    <w:rsid w:val="007542FB"/>
    <w:rsid w:val="00755A00"/>
    <w:rsid w:val="00757201"/>
    <w:rsid w:val="00760CAC"/>
    <w:rsid w:val="007708F5"/>
    <w:rsid w:val="00780C43"/>
    <w:rsid w:val="00785E02"/>
    <w:rsid w:val="00786E9A"/>
    <w:rsid w:val="0079679D"/>
    <w:rsid w:val="007A3BB6"/>
    <w:rsid w:val="007A74C3"/>
    <w:rsid w:val="007B09E1"/>
    <w:rsid w:val="007C3D0A"/>
    <w:rsid w:val="007C5AF7"/>
    <w:rsid w:val="007D4CAE"/>
    <w:rsid w:val="007E06FB"/>
    <w:rsid w:val="007E3D7E"/>
    <w:rsid w:val="007E678E"/>
    <w:rsid w:val="007F3677"/>
    <w:rsid w:val="00807969"/>
    <w:rsid w:val="00821DB7"/>
    <w:rsid w:val="00830F62"/>
    <w:rsid w:val="00846A6C"/>
    <w:rsid w:val="00850DEB"/>
    <w:rsid w:val="00852587"/>
    <w:rsid w:val="00853D8A"/>
    <w:rsid w:val="00861812"/>
    <w:rsid w:val="00862CBA"/>
    <w:rsid w:val="00865FFE"/>
    <w:rsid w:val="008864E7"/>
    <w:rsid w:val="00896B9F"/>
    <w:rsid w:val="008A5009"/>
    <w:rsid w:val="008B24AA"/>
    <w:rsid w:val="008C7EB1"/>
    <w:rsid w:val="008D23F6"/>
    <w:rsid w:val="008D5F3B"/>
    <w:rsid w:val="008E2B49"/>
    <w:rsid w:val="008E32E4"/>
    <w:rsid w:val="008E7452"/>
    <w:rsid w:val="0090008D"/>
    <w:rsid w:val="009110F1"/>
    <w:rsid w:val="00913720"/>
    <w:rsid w:val="00914F8F"/>
    <w:rsid w:val="00940FBA"/>
    <w:rsid w:val="0094751B"/>
    <w:rsid w:val="00947B14"/>
    <w:rsid w:val="00954797"/>
    <w:rsid w:val="009574E1"/>
    <w:rsid w:val="00976AB5"/>
    <w:rsid w:val="009819AD"/>
    <w:rsid w:val="00990231"/>
    <w:rsid w:val="0099193A"/>
    <w:rsid w:val="009A1D10"/>
    <w:rsid w:val="009A1FCB"/>
    <w:rsid w:val="009A23A1"/>
    <w:rsid w:val="009A451C"/>
    <w:rsid w:val="009B375F"/>
    <w:rsid w:val="009C75E3"/>
    <w:rsid w:val="009D4009"/>
    <w:rsid w:val="009D5A3D"/>
    <w:rsid w:val="009D7BAE"/>
    <w:rsid w:val="009E3F8E"/>
    <w:rsid w:val="009E784E"/>
    <w:rsid w:val="00A01FA4"/>
    <w:rsid w:val="00A1542F"/>
    <w:rsid w:val="00A16EEA"/>
    <w:rsid w:val="00A24E9F"/>
    <w:rsid w:val="00A30C9B"/>
    <w:rsid w:val="00A33208"/>
    <w:rsid w:val="00A40F16"/>
    <w:rsid w:val="00A44932"/>
    <w:rsid w:val="00A4609D"/>
    <w:rsid w:val="00A5019B"/>
    <w:rsid w:val="00A505A5"/>
    <w:rsid w:val="00A50C70"/>
    <w:rsid w:val="00A518D0"/>
    <w:rsid w:val="00A54F40"/>
    <w:rsid w:val="00A55463"/>
    <w:rsid w:val="00A605C4"/>
    <w:rsid w:val="00A642C4"/>
    <w:rsid w:val="00A6441E"/>
    <w:rsid w:val="00A75395"/>
    <w:rsid w:val="00A86F84"/>
    <w:rsid w:val="00AE0DCC"/>
    <w:rsid w:val="00AE2C15"/>
    <w:rsid w:val="00AF0DAC"/>
    <w:rsid w:val="00AF4BE6"/>
    <w:rsid w:val="00B000C9"/>
    <w:rsid w:val="00B0205D"/>
    <w:rsid w:val="00B050A1"/>
    <w:rsid w:val="00B104BE"/>
    <w:rsid w:val="00B109A9"/>
    <w:rsid w:val="00B122F9"/>
    <w:rsid w:val="00B218A4"/>
    <w:rsid w:val="00B24207"/>
    <w:rsid w:val="00B25DC3"/>
    <w:rsid w:val="00B31B04"/>
    <w:rsid w:val="00B3299E"/>
    <w:rsid w:val="00B52972"/>
    <w:rsid w:val="00B66908"/>
    <w:rsid w:val="00B85B09"/>
    <w:rsid w:val="00B91A4B"/>
    <w:rsid w:val="00B9690D"/>
    <w:rsid w:val="00BB4FC4"/>
    <w:rsid w:val="00BB7474"/>
    <w:rsid w:val="00BC6C99"/>
    <w:rsid w:val="00BC6CDA"/>
    <w:rsid w:val="00BD1015"/>
    <w:rsid w:val="00BD7CFD"/>
    <w:rsid w:val="00BE3699"/>
    <w:rsid w:val="00BF0494"/>
    <w:rsid w:val="00BF26A9"/>
    <w:rsid w:val="00BF5601"/>
    <w:rsid w:val="00BF749E"/>
    <w:rsid w:val="00C07A9B"/>
    <w:rsid w:val="00C10885"/>
    <w:rsid w:val="00C12BA6"/>
    <w:rsid w:val="00C241D4"/>
    <w:rsid w:val="00C2670E"/>
    <w:rsid w:val="00C26CB9"/>
    <w:rsid w:val="00C30FE6"/>
    <w:rsid w:val="00C34E14"/>
    <w:rsid w:val="00C4551A"/>
    <w:rsid w:val="00C72173"/>
    <w:rsid w:val="00C824A6"/>
    <w:rsid w:val="00C84C27"/>
    <w:rsid w:val="00CA6F3E"/>
    <w:rsid w:val="00CB5494"/>
    <w:rsid w:val="00CC2065"/>
    <w:rsid w:val="00CC5723"/>
    <w:rsid w:val="00CC6D05"/>
    <w:rsid w:val="00CF1ED2"/>
    <w:rsid w:val="00CF591F"/>
    <w:rsid w:val="00CF6A54"/>
    <w:rsid w:val="00D00713"/>
    <w:rsid w:val="00D03480"/>
    <w:rsid w:val="00D064D6"/>
    <w:rsid w:val="00D06624"/>
    <w:rsid w:val="00D076B8"/>
    <w:rsid w:val="00D205D5"/>
    <w:rsid w:val="00D2387D"/>
    <w:rsid w:val="00D27BC9"/>
    <w:rsid w:val="00D33104"/>
    <w:rsid w:val="00D50808"/>
    <w:rsid w:val="00D541EB"/>
    <w:rsid w:val="00D57057"/>
    <w:rsid w:val="00D932A5"/>
    <w:rsid w:val="00D93C07"/>
    <w:rsid w:val="00D94F31"/>
    <w:rsid w:val="00D9511C"/>
    <w:rsid w:val="00D975BE"/>
    <w:rsid w:val="00DA27F7"/>
    <w:rsid w:val="00DA280D"/>
    <w:rsid w:val="00DB4F6E"/>
    <w:rsid w:val="00DC0FC3"/>
    <w:rsid w:val="00DC70C8"/>
    <w:rsid w:val="00DD037C"/>
    <w:rsid w:val="00DE6376"/>
    <w:rsid w:val="00DE6806"/>
    <w:rsid w:val="00DF0939"/>
    <w:rsid w:val="00E130D4"/>
    <w:rsid w:val="00E13C2F"/>
    <w:rsid w:val="00E155B2"/>
    <w:rsid w:val="00E20672"/>
    <w:rsid w:val="00E366C1"/>
    <w:rsid w:val="00E41408"/>
    <w:rsid w:val="00E4194D"/>
    <w:rsid w:val="00E436D9"/>
    <w:rsid w:val="00E61CF1"/>
    <w:rsid w:val="00E63F41"/>
    <w:rsid w:val="00E64D5F"/>
    <w:rsid w:val="00E66B3C"/>
    <w:rsid w:val="00E84F16"/>
    <w:rsid w:val="00EA29A2"/>
    <w:rsid w:val="00EB142E"/>
    <w:rsid w:val="00ED09F3"/>
    <w:rsid w:val="00EE2E1D"/>
    <w:rsid w:val="00EF1134"/>
    <w:rsid w:val="00EF7A11"/>
    <w:rsid w:val="00F02439"/>
    <w:rsid w:val="00F0482D"/>
    <w:rsid w:val="00F16866"/>
    <w:rsid w:val="00F34487"/>
    <w:rsid w:val="00F366ED"/>
    <w:rsid w:val="00F42075"/>
    <w:rsid w:val="00F55BA1"/>
    <w:rsid w:val="00F56BDD"/>
    <w:rsid w:val="00F57A46"/>
    <w:rsid w:val="00F614B9"/>
    <w:rsid w:val="00F61CC0"/>
    <w:rsid w:val="00F6592E"/>
    <w:rsid w:val="00F8264C"/>
    <w:rsid w:val="00F933DD"/>
    <w:rsid w:val="00F937E5"/>
    <w:rsid w:val="00FA00D2"/>
    <w:rsid w:val="00FA5B37"/>
    <w:rsid w:val="00FB00A2"/>
    <w:rsid w:val="00FB0EAD"/>
    <w:rsid w:val="00FB633B"/>
    <w:rsid w:val="00FC2895"/>
    <w:rsid w:val="00FD06A6"/>
    <w:rsid w:val="00FD58CC"/>
    <w:rsid w:val="00FE7142"/>
    <w:rsid w:val="00FF0628"/>
    <w:rsid w:val="00FF3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1018D"/>
  <w15:chartTrackingRefBased/>
  <w15:docId w15:val="{1606B78F-0564-40C6-B22E-83198DC4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5DC3"/>
    <w:rPr>
      <w:color w:val="0563C1" w:themeColor="hyperlink"/>
      <w:u w:val="single"/>
    </w:rPr>
  </w:style>
  <w:style w:type="table" w:styleId="TableGrid">
    <w:name w:val="Table Grid"/>
    <w:basedOn w:val="TableNormal"/>
    <w:uiPriority w:val="39"/>
    <w:rsid w:val="00D54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0C128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3E46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0205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471E8"/>
    <w:rPr>
      <w:sz w:val="16"/>
      <w:szCs w:val="16"/>
    </w:rPr>
  </w:style>
  <w:style w:type="paragraph" w:styleId="CommentText">
    <w:name w:val="annotation text"/>
    <w:basedOn w:val="Normal"/>
    <w:link w:val="CommentTextChar"/>
    <w:uiPriority w:val="99"/>
    <w:semiHidden/>
    <w:unhideWhenUsed/>
    <w:rsid w:val="004471E8"/>
    <w:pPr>
      <w:spacing w:line="240" w:lineRule="auto"/>
    </w:pPr>
    <w:rPr>
      <w:sz w:val="20"/>
      <w:szCs w:val="20"/>
    </w:rPr>
  </w:style>
  <w:style w:type="character" w:customStyle="1" w:styleId="CommentTextChar">
    <w:name w:val="Comment Text Char"/>
    <w:basedOn w:val="DefaultParagraphFont"/>
    <w:link w:val="CommentText"/>
    <w:uiPriority w:val="99"/>
    <w:semiHidden/>
    <w:rsid w:val="004471E8"/>
    <w:rPr>
      <w:sz w:val="20"/>
      <w:szCs w:val="20"/>
    </w:rPr>
  </w:style>
  <w:style w:type="paragraph" w:styleId="CommentSubject">
    <w:name w:val="annotation subject"/>
    <w:basedOn w:val="CommentText"/>
    <w:next w:val="CommentText"/>
    <w:link w:val="CommentSubjectChar"/>
    <w:uiPriority w:val="99"/>
    <w:semiHidden/>
    <w:unhideWhenUsed/>
    <w:rsid w:val="004471E8"/>
    <w:rPr>
      <w:b/>
      <w:bCs/>
    </w:rPr>
  </w:style>
  <w:style w:type="character" w:customStyle="1" w:styleId="CommentSubjectChar">
    <w:name w:val="Comment Subject Char"/>
    <w:basedOn w:val="CommentTextChar"/>
    <w:link w:val="CommentSubject"/>
    <w:uiPriority w:val="99"/>
    <w:semiHidden/>
    <w:rsid w:val="004471E8"/>
    <w:rPr>
      <w:b/>
      <w:bCs/>
      <w:sz w:val="20"/>
      <w:szCs w:val="20"/>
    </w:rPr>
  </w:style>
  <w:style w:type="paragraph" w:styleId="BalloonText">
    <w:name w:val="Balloon Text"/>
    <w:basedOn w:val="Normal"/>
    <w:link w:val="BalloonTextChar"/>
    <w:uiPriority w:val="99"/>
    <w:semiHidden/>
    <w:unhideWhenUsed/>
    <w:rsid w:val="00447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1E8"/>
    <w:rPr>
      <w:rFonts w:ascii="Segoe UI" w:hAnsi="Segoe UI" w:cs="Segoe UI"/>
      <w:sz w:val="18"/>
      <w:szCs w:val="18"/>
    </w:rPr>
  </w:style>
  <w:style w:type="paragraph" w:styleId="PlainText">
    <w:name w:val="Plain Text"/>
    <w:basedOn w:val="Normal"/>
    <w:link w:val="PlainTextChar"/>
    <w:uiPriority w:val="99"/>
    <w:semiHidden/>
    <w:unhideWhenUsed/>
    <w:rsid w:val="004471E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471E8"/>
    <w:rPr>
      <w:rFonts w:ascii="Calibri" w:hAnsi="Calibri"/>
      <w:szCs w:val="21"/>
    </w:rPr>
  </w:style>
  <w:style w:type="table" w:styleId="GridTable5Dark">
    <w:name w:val="Grid Table 5 Dark"/>
    <w:basedOn w:val="TableNormal"/>
    <w:uiPriority w:val="50"/>
    <w:rsid w:val="005455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1Light">
    <w:name w:val="List Table 1 Light"/>
    <w:basedOn w:val="TableNormal"/>
    <w:uiPriority w:val="46"/>
    <w:rsid w:val="00CC572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CC57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CC57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CC57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D5AD7"/>
    <w:pPr>
      <w:spacing w:after="0" w:line="240" w:lineRule="auto"/>
    </w:pPr>
  </w:style>
  <w:style w:type="character" w:customStyle="1" w:styleId="UnresolvedMention1">
    <w:name w:val="Unresolved Mention1"/>
    <w:basedOn w:val="DefaultParagraphFont"/>
    <w:uiPriority w:val="99"/>
    <w:semiHidden/>
    <w:unhideWhenUsed/>
    <w:rsid w:val="00270A81"/>
    <w:rPr>
      <w:color w:val="605E5C"/>
      <w:shd w:val="clear" w:color="auto" w:fill="E1DFDD"/>
    </w:rPr>
  </w:style>
  <w:style w:type="paragraph" w:styleId="Header">
    <w:name w:val="header"/>
    <w:basedOn w:val="Normal"/>
    <w:link w:val="HeaderChar"/>
    <w:uiPriority w:val="99"/>
    <w:unhideWhenUsed/>
    <w:rsid w:val="00447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C30"/>
  </w:style>
  <w:style w:type="paragraph" w:styleId="Footer">
    <w:name w:val="footer"/>
    <w:basedOn w:val="Normal"/>
    <w:link w:val="FooterChar"/>
    <w:uiPriority w:val="99"/>
    <w:unhideWhenUsed/>
    <w:rsid w:val="00447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C30"/>
  </w:style>
  <w:style w:type="paragraph" w:customStyle="1" w:styleId="Default">
    <w:name w:val="Default"/>
    <w:rsid w:val="003C0A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7033">
      <w:bodyDiv w:val="1"/>
      <w:marLeft w:val="0"/>
      <w:marRight w:val="0"/>
      <w:marTop w:val="0"/>
      <w:marBottom w:val="0"/>
      <w:divBdr>
        <w:top w:val="none" w:sz="0" w:space="0" w:color="auto"/>
        <w:left w:val="none" w:sz="0" w:space="0" w:color="auto"/>
        <w:bottom w:val="none" w:sz="0" w:space="0" w:color="auto"/>
        <w:right w:val="none" w:sz="0" w:space="0" w:color="auto"/>
      </w:divBdr>
    </w:div>
    <w:div w:id="624888031">
      <w:bodyDiv w:val="1"/>
      <w:marLeft w:val="0"/>
      <w:marRight w:val="0"/>
      <w:marTop w:val="0"/>
      <w:marBottom w:val="0"/>
      <w:divBdr>
        <w:top w:val="none" w:sz="0" w:space="0" w:color="auto"/>
        <w:left w:val="none" w:sz="0" w:space="0" w:color="auto"/>
        <w:bottom w:val="none" w:sz="0" w:space="0" w:color="auto"/>
        <w:right w:val="none" w:sz="0" w:space="0" w:color="auto"/>
      </w:divBdr>
    </w:div>
    <w:div w:id="879130533">
      <w:bodyDiv w:val="1"/>
      <w:marLeft w:val="0"/>
      <w:marRight w:val="0"/>
      <w:marTop w:val="0"/>
      <w:marBottom w:val="0"/>
      <w:divBdr>
        <w:top w:val="none" w:sz="0" w:space="0" w:color="auto"/>
        <w:left w:val="none" w:sz="0" w:space="0" w:color="auto"/>
        <w:bottom w:val="none" w:sz="0" w:space="0" w:color="auto"/>
        <w:right w:val="none" w:sz="0" w:space="0" w:color="auto"/>
      </w:divBdr>
    </w:div>
    <w:div w:id="952905857">
      <w:bodyDiv w:val="1"/>
      <w:marLeft w:val="0"/>
      <w:marRight w:val="0"/>
      <w:marTop w:val="0"/>
      <w:marBottom w:val="0"/>
      <w:divBdr>
        <w:top w:val="none" w:sz="0" w:space="0" w:color="auto"/>
        <w:left w:val="none" w:sz="0" w:space="0" w:color="auto"/>
        <w:bottom w:val="none" w:sz="0" w:space="0" w:color="auto"/>
        <w:right w:val="none" w:sz="0" w:space="0" w:color="auto"/>
      </w:divBdr>
    </w:div>
    <w:div w:id="1090270312">
      <w:bodyDiv w:val="1"/>
      <w:marLeft w:val="0"/>
      <w:marRight w:val="0"/>
      <w:marTop w:val="0"/>
      <w:marBottom w:val="0"/>
      <w:divBdr>
        <w:top w:val="none" w:sz="0" w:space="0" w:color="auto"/>
        <w:left w:val="none" w:sz="0" w:space="0" w:color="auto"/>
        <w:bottom w:val="none" w:sz="0" w:space="0" w:color="auto"/>
        <w:right w:val="none" w:sz="0" w:space="0" w:color="auto"/>
      </w:divBdr>
    </w:div>
    <w:div w:id="1226331537">
      <w:bodyDiv w:val="1"/>
      <w:marLeft w:val="0"/>
      <w:marRight w:val="0"/>
      <w:marTop w:val="0"/>
      <w:marBottom w:val="0"/>
      <w:divBdr>
        <w:top w:val="none" w:sz="0" w:space="0" w:color="auto"/>
        <w:left w:val="none" w:sz="0" w:space="0" w:color="auto"/>
        <w:bottom w:val="none" w:sz="0" w:space="0" w:color="auto"/>
        <w:right w:val="none" w:sz="0" w:space="0" w:color="auto"/>
      </w:divBdr>
    </w:div>
    <w:div w:id="1679039461">
      <w:bodyDiv w:val="1"/>
      <w:marLeft w:val="0"/>
      <w:marRight w:val="0"/>
      <w:marTop w:val="0"/>
      <w:marBottom w:val="0"/>
      <w:divBdr>
        <w:top w:val="none" w:sz="0" w:space="0" w:color="auto"/>
        <w:left w:val="none" w:sz="0" w:space="0" w:color="auto"/>
        <w:bottom w:val="none" w:sz="0" w:space="0" w:color="auto"/>
        <w:right w:val="none" w:sz="0" w:space="0" w:color="auto"/>
      </w:divBdr>
    </w:div>
    <w:div w:id="1682703626">
      <w:bodyDiv w:val="1"/>
      <w:marLeft w:val="0"/>
      <w:marRight w:val="0"/>
      <w:marTop w:val="0"/>
      <w:marBottom w:val="0"/>
      <w:divBdr>
        <w:top w:val="none" w:sz="0" w:space="0" w:color="auto"/>
        <w:left w:val="none" w:sz="0" w:space="0" w:color="auto"/>
        <w:bottom w:val="none" w:sz="0" w:space="0" w:color="auto"/>
        <w:right w:val="none" w:sz="0" w:space="0" w:color="auto"/>
      </w:divBdr>
    </w:div>
    <w:div w:id="1974408609">
      <w:bodyDiv w:val="1"/>
      <w:marLeft w:val="0"/>
      <w:marRight w:val="0"/>
      <w:marTop w:val="0"/>
      <w:marBottom w:val="0"/>
      <w:divBdr>
        <w:top w:val="none" w:sz="0" w:space="0" w:color="auto"/>
        <w:left w:val="none" w:sz="0" w:space="0" w:color="auto"/>
        <w:bottom w:val="none" w:sz="0" w:space="0" w:color="auto"/>
        <w:right w:val="none" w:sz="0" w:space="0" w:color="auto"/>
      </w:divBdr>
    </w:div>
    <w:div w:id="2098284445">
      <w:bodyDiv w:val="1"/>
      <w:marLeft w:val="0"/>
      <w:marRight w:val="0"/>
      <w:marTop w:val="0"/>
      <w:marBottom w:val="0"/>
      <w:divBdr>
        <w:top w:val="none" w:sz="0" w:space="0" w:color="auto"/>
        <w:left w:val="none" w:sz="0" w:space="0" w:color="auto"/>
        <w:bottom w:val="none" w:sz="0" w:space="0" w:color="auto"/>
        <w:right w:val="none" w:sz="0" w:space="0" w:color="auto"/>
      </w:divBdr>
    </w:div>
    <w:div w:id="211848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1DFAF-B603-4786-8186-6B146E61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1651</Words>
  <Characters>9413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Karl R CIV USARMY CENWW (US)</dc:creator>
  <cp:keywords/>
  <dc:description/>
  <cp:lastModifiedBy>Madson, Patricia L CIV USARMY CENWP (USA)</cp:lastModifiedBy>
  <cp:revision>3</cp:revision>
  <dcterms:created xsi:type="dcterms:W3CDTF">2022-05-05T21:30:00Z</dcterms:created>
  <dcterms:modified xsi:type="dcterms:W3CDTF">2022-05-05T22:06:00Z</dcterms:modified>
</cp:coreProperties>
</file>